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38AA" w14:textId="77777777">
      <w:pPr>
        <w:spacing w:after="100"/>
      </w:pPr>
      <w:r>
        <w:rPr>
          <w:b/>
          <w:color w:val="9B1C1C"/>
        </w:rPr>
        <w:t>FICTITIOUS DEMONSTRATION SAMPLE</w:t>
      </w:r>
    </w:p>
    <w:p w14:paraId="50B69904" w14:textId="77777777">
      <w:pPr>
        <w:spacing w:after="200"/>
      </w:pPr>
      <w:r>
        <w:rPr>
          <w:b/>
          <w:color w:val="3D2B1F"/>
          <w:sz w:val="44"/>
        </w:rPr>
        <w:t>Weekly account update</w:t>
      </w:r>
    </w:p>
    <w:p w14:paraId="0818FE55" w14:textId="77777777">
      <w:pPr>
        <w:keepLines/>
      </w:pPr>
      <w:r>
        <w:t>Prepared for Meridian Support Services, Inc. | 1-5 June 2026 | FICTITIOUS CLIENT SUMMARY</w:t>
      </w:r>
    </w:p>
    <w:p w14:paraId="41E1A81E" w14:textId="77777777">
      <w:pPr>
        <w:keepLines/>
      </w:pPr>
      <w:r>
        <w:t>The Watch checks the public sources Meridian selected and starts work immediately when the company's written instructions cover a strong fit. This update summarizes the work completed and the decisions Meridian needs to make.</w:t>
      </w:r>
    </w:p>
    <w:p w14:paraId="08FB6B4E" w14:textId="77777777">
      <w:pPr>
        <w:pStyle w:val="Heading1"/>
      </w:pPr>
      <w:r>
        <w:t>Executive snapshot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20"/>
        <w:gridCol w:w="2280"/>
        <w:gridCol w:w="2280"/>
        <w:gridCol w:w="2280"/>
      </w:tblGrid>
      <w:tr w14:paraId="66E829C9" w14:textId="77777777">
        <w:trPr>
          <w:cantSplit/>
          <w:tblHeader/>
        </w:trPr>
        <w:tc>
          <w:tcPr>
            <w:tcW w:w="252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521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Responses delivered for review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A5CDB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Opportunity decisions needed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8F3E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Sources checked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0F306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Next action</w:t>
            </w:r>
          </w:p>
        </w:tc>
      </w:tr>
      <w:tr w14:paraId="2E3F1060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7E08E" w14:textId="77777777">
            <w:pPr>
              <w:spacing w:after="0"/>
            </w:pPr>
            <w:r>
              <w:rPr>
                <w:sz w:val="17"/>
              </w:rPr>
              <w:t>1 response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E8DF1" w14:textId="77777777">
            <w:pPr>
              <w:spacing w:after="0"/>
            </w:pPr>
            <w:r>
              <w:rPr>
                <w:sz w:val="17"/>
              </w:rPr>
              <w:t>2 decisions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E80ED3" w14:textId="77777777">
            <w:pPr>
              <w:spacing w:after="0"/>
            </w:pPr>
            <w:r>
              <w:rPr>
                <w:sz w:val="17"/>
              </w:rPr>
              <w:t>6/6 sources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D77F0" w14:textId="77777777">
            <w:pPr>
              <w:spacing w:after="0"/>
            </w:pPr>
            <w:r>
              <w:rPr>
                <w:sz w:val="17"/>
              </w:rPr>
              <w:t>Continue the scheduled source checks and act on Meridian's two decisions</w:t>
            </w:r>
          </w:p>
        </w:tc>
      </w:tr>
    </w:tbl>
    <w:p w14:paraId="4463F2B7" w14:textId="77777777">
      <w:pPr>
        <w:spacing w:after="0"/>
      </w:pPr>
    </w:p>
    <w:p w14:paraId="49632707" w14:textId="77777777">
      <w:pPr>
        <w:pStyle w:val="Heading1"/>
      </w:pPr>
      <w:r>
        <w:t>Completed this week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20"/>
        <w:gridCol w:w="2280"/>
        <w:gridCol w:w="2280"/>
        <w:gridCol w:w="2280"/>
      </w:tblGrid>
      <w:tr w14:paraId="2C28CA48" w14:textId="77777777">
        <w:trPr>
          <w:cantSplit/>
          <w:tblHeader/>
        </w:trPr>
        <w:tc>
          <w:tcPr>
            <w:tcW w:w="252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DD1B7E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Opportunity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4BCD0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Result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C642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Work completed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A4DD6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Meridian's next action</w:t>
            </w:r>
          </w:p>
        </w:tc>
      </w:tr>
      <w:tr w14:paraId="352822A9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50732" w14:textId="77777777">
            <w:pPr>
              <w:spacing w:after="0"/>
            </w:pPr>
            <w:r>
              <w:rPr>
                <w:sz w:val="17"/>
              </w:rPr>
              <w:t>NCRA-2099-RFI-004, grant closeout readiness and portfolio support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1D73D" w14:textId="77777777">
            <w:pPr>
              <w:spacing w:after="0"/>
            </w:pPr>
            <w:r>
              <w:rPr>
                <w:sz w:val="17"/>
              </w:rPr>
              <w:t>Strong fit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B2358" w14:textId="77777777">
            <w:pPr>
              <w:spacing w:after="0"/>
            </w:pPr>
            <w:r>
              <w:rPr>
                <w:sz w:val="17"/>
              </w:rPr>
              <w:t>We started the response on 1 June and delivered the finished package for review on 4 June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794E6" w14:textId="77777777">
            <w:pPr>
              <w:spacing w:after="0"/>
            </w:pPr>
            <w:r>
              <w:rPr>
                <w:sz w:val="17"/>
              </w:rPr>
              <w:t>Review the finished response and decide whether to submit</w:t>
            </w:r>
          </w:p>
        </w:tc>
      </w:tr>
    </w:tbl>
    <w:p w14:paraId="5FC67579" w14:textId="77777777">
      <w:pPr>
        <w:spacing w:after="0"/>
      </w:pPr>
    </w:p>
    <w:p w14:paraId="5B95991E" w14:textId="77777777">
      <w:pPr>
        <w:pStyle w:val="Heading1"/>
      </w:pPr>
      <w:r>
        <w:t>Opportunity decisions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00"/>
        <w:gridCol w:w="1840"/>
        <w:gridCol w:w="1840"/>
        <w:gridCol w:w="1840"/>
        <w:gridCol w:w="1840"/>
      </w:tblGrid>
      <w:tr w14:paraId="3571B28E" w14:textId="77777777">
        <w:trPr>
          <w:cantSplit/>
          <w:tblHeader/>
        </w:trPr>
        <w:tc>
          <w:tcPr>
            <w:tcW w:w="200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FFEE6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Opportunity</w:t>
            </w:r>
          </w:p>
        </w:tc>
        <w:tc>
          <w:tcPr>
            <w:tcW w:w="184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27FB8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Why it may fit</w:t>
            </w:r>
          </w:p>
        </w:tc>
        <w:tc>
          <w:tcPr>
            <w:tcW w:w="184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A783B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Decision needed</w:t>
            </w:r>
          </w:p>
        </w:tc>
        <w:tc>
          <w:tcPr>
            <w:tcW w:w="184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346B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Decide by</w:t>
            </w:r>
          </w:p>
        </w:tc>
        <w:tc>
          <w:tcPr>
            <w:tcW w:w="184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D187F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Recommendation</w:t>
            </w:r>
          </w:p>
        </w:tc>
      </w:tr>
      <w:tr w14:paraId="62E4A73A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BB325" w14:textId="77777777">
            <w:pPr>
              <w:spacing w:after="0"/>
            </w:pPr>
            <w:r>
              <w:rPr>
                <w:sz w:val="17"/>
              </w:rPr>
              <w:t>DEMO-FORECAST-26-014, service-request modernization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4902C" w14:textId="77777777">
            <w:pPr>
              <w:spacing w:after="0"/>
            </w:pPr>
            <w:r>
              <w:rPr>
                <w:sz w:val="17"/>
              </w:rPr>
              <w:t>Relevant intake and knowledge work; live channel-integration evidence has a gap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BB9E1" w14:textId="77777777">
            <w:pPr>
              <w:spacing w:after="0"/>
            </w:pPr>
            <w:r>
              <w:rPr>
                <w:sz w:val="17"/>
              </w:rPr>
              <w:t>Pursue with a qualified integration teammate or decline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6DB09" w14:textId="77777777">
            <w:pPr>
              <w:spacing w:after="0"/>
            </w:pPr>
            <w:r>
              <w:rPr>
                <w:sz w:val="17"/>
              </w:rPr>
              <w:t>10 June 2026, 2:00 p.m. CT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DAA22" w14:textId="77777777">
            <w:pPr>
              <w:spacing w:after="0"/>
            </w:pPr>
            <w:r>
              <w:rPr>
                <w:sz w:val="17"/>
              </w:rPr>
              <w:t>Pursue if the integration role is confirmed; otherwise decline</w:t>
            </w:r>
          </w:p>
        </w:tc>
      </w:tr>
      <w:tr w14:paraId="22FF9650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043D8" w14:textId="77777777">
            <w:pPr>
              <w:spacing w:after="0"/>
            </w:pPr>
            <w:r>
              <w:rPr>
                <w:sz w:val="17"/>
              </w:rPr>
              <w:t>DEMO-RFI-26-021, permit-intake validation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7A543" w14:textId="77777777">
            <w:pPr>
              <w:spacing w:after="0"/>
            </w:pPr>
            <w:r>
              <w:rPr>
                <w:sz w:val="17"/>
              </w:rPr>
              <w:t>Relevant record-quality and workflow work; workflow-automation integration is not supported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BD57B" w14:textId="77777777">
            <w:pPr>
              <w:spacing w:after="0"/>
            </w:pPr>
            <w:r>
              <w:rPr>
                <w:sz w:val="17"/>
              </w:rPr>
              <w:t>Confirm an approved reference or teammate, or decline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996DE" w14:textId="77777777">
            <w:pPr>
              <w:spacing w:after="0"/>
            </w:pPr>
            <w:r>
              <w:rPr>
                <w:sz w:val="17"/>
              </w:rPr>
              <w:t>11 June 2026, 4:00 p.m. CT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D8B8D" w14:textId="77777777">
            <w:pPr>
              <w:spacing w:after="0"/>
            </w:pPr>
            <w:r>
              <w:rPr>
                <w:sz w:val="17"/>
              </w:rPr>
              <w:t>Decline unless the required reference or teammate is confirmed</w:t>
            </w:r>
          </w:p>
        </w:tc>
      </w:tr>
    </w:tbl>
    <w:p w14:paraId="423638BB" w14:textId="77777777">
      <w:pPr>
        <w:spacing w:after="0"/>
      </w:pPr>
    </w:p>
    <w:p w14:paraId="352B2438" w14:textId="77777777">
      <w:pPr>
        <w:keepLines/>
      </w:pPr>
      <w:r>
        <w:t>Reply with the decision for each opportunity. For these two opportunities, we will begin after Meridian sends the decision.</w:t>
      </w:r>
    </w:p>
    <w:p w14:paraId="53193A5B" w14:textId="77777777">
      <w:pPr>
        <w:pStyle w:val="Heading1"/>
      </w:pPr>
      <w:r>
        <w:t>Weekly opportunity review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20"/>
        <w:gridCol w:w="2280"/>
        <w:gridCol w:w="2280"/>
        <w:gridCol w:w="2280"/>
      </w:tblGrid>
      <w:tr w14:paraId="40127245" w14:textId="77777777">
        <w:trPr>
          <w:cantSplit/>
          <w:tblHeader/>
        </w:trPr>
        <w:tc>
          <w:tcPr>
            <w:tcW w:w="252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08FE0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Opportunities reviewed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C3D8D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Responses delivered for review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1EE0B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Client decisions needed</w:t>
            </w:r>
          </w:p>
        </w:tc>
        <w:tc>
          <w:tcPr>
            <w:tcW w:w="2280" w:type="dxa"/>
            <w:shd w:val="clear" w:color="auto" w:fill="B26A2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5C8BB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Opportunities not pursued</w:t>
            </w:r>
          </w:p>
        </w:tc>
      </w:tr>
      <w:tr w14:paraId="2E280D2A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68DB8" w14:textId="77777777">
            <w:pPr>
              <w:spacing w:after="0"/>
            </w:pPr>
            <w:r>
              <w:rPr>
                <w:sz w:val="17"/>
              </w:rPr>
              <w:t>42 opportunities reviewed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79EB7" w14:textId="77777777">
            <w:pPr>
              <w:spacing w:after="0"/>
            </w:pPr>
            <w:r>
              <w:rPr>
                <w:sz w:val="17"/>
              </w:rPr>
              <w:t>1/42 opportunities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0A847" w14:textId="77777777">
            <w:pPr>
              <w:spacing w:after="0"/>
            </w:pPr>
            <w:r>
              <w:rPr>
                <w:sz w:val="17"/>
              </w:rPr>
              <w:t>2/42 opportunities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45E71" w14:textId="77777777">
            <w:pPr>
              <w:spacing w:after="0"/>
            </w:pPr>
            <w:r>
              <w:rPr>
                <w:sz w:val="17"/>
              </w:rPr>
              <w:t>39/42 opportunities</w:t>
            </w:r>
          </w:p>
        </w:tc>
      </w:tr>
    </w:tbl>
    <w:p w14:paraId="518DBE40" w14:textId="77777777">
      <w:pPr>
        <w:spacing w:after="0"/>
      </w:pPr>
    </w:p>
    <w:p w14:paraId="45C88DB8" w14:textId="77777777">
      <w:pPr>
        <w:keepLines/>
      </w:pPr>
      <w:r>
        <w:t>Of the 39 opportunities not pursued, 34 were outside scope, lacked required evidence, or missed buyer priorities, and 5 were ineligible. Those records remain in Meridian's opportunity log.</w:t>
      </w:r>
    </w:p>
    <w:sectPr>
      <w:headerReference w:type="default" r:id="rId8"/>
      <w:footerReference w:type="default" r:id="rId9"/>
      <w:pgSz w:w="12240" w:h="15840"/>
      <w:pgMar w:top="936" w:right="936" w:bottom="936" w:left="93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0CCB" w14:textId="77777777">
      <w:pPr>
        <w:spacing w:after="0" w:line="240" w:lineRule="auto"/>
      </w:pPr>
      <w:r>
        <w:separator/>
      </w:r>
    </w:p>
  </w:endnote>
  <w:endnote w:type="continuationSeparator" w:id="0">
    <w:p w14:paraId="06C078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9E96" w14:textId="77777777">
    <w:pPr>
      <w:pStyle w:val="Footer"/>
    </w:pPr>
    <w:r>
      <w:rPr>
        <w:color w:val="666666"/>
        <w:sz w:val="16"/>
      </w:rPr>
      <w:t xml:space="preserve">FICTIONAL DEMONSTRATION SAMPLE    |    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  <w:r>
      <w:rPr>
        <w:color w:val="666666"/>
        <w:sz w:val="16"/>
      </w:rPr>
      <w:t xml:space="preserve"> of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NUMPAGES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4A7F" w14:textId="77777777">
      <w:pPr>
        <w:spacing w:after="0" w:line="240" w:lineRule="auto"/>
      </w:pPr>
      <w:r>
        <w:separator/>
      </w:r>
    </w:p>
  </w:footnote>
  <w:footnote w:type="continuationSeparator" w:id="0">
    <w:p w14:paraId="796928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3B07" w14:textId="77777777">
    <w:pPr>
      <w:pStyle w:val="Header"/>
    </w:pPr>
    <w:r>
      <w:rPr>
        <w:b/>
        <w:color w:val="3D2B1F"/>
        <w:sz w:val="16"/>
      </w:rPr>
      <w:t>Gesso Federal | We take the paperwork out of federal work.</w:t>
    </w:r>
    <w:r>
      <w:rPr>
        <w:b/>
        <w:color w:val="9B1C1C"/>
        <w:sz w:val="16"/>
      </w:rPr>
      <w:t xml:space="preserve">    |    FICTIONAL DEMONSTRATION 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4455422">
    <w:abstractNumId w:val="8"/>
  </w:num>
  <w:num w:numId="2" w16cid:durableId="312760623">
    <w:abstractNumId w:val="6"/>
  </w:num>
  <w:num w:numId="3" w16cid:durableId="1751534535">
    <w:abstractNumId w:val="5"/>
  </w:num>
  <w:num w:numId="4" w16cid:durableId="1000502028">
    <w:abstractNumId w:val="4"/>
  </w:num>
  <w:num w:numId="5" w16cid:durableId="890728458">
    <w:abstractNumId w:val="7"/>
  </w:num>
  <w:num w:numId="6" w16cid:durableId="61873976">
    <w:abstractNumId w:val="3"/>
  </w:num>
  <w:num w:numId="7" w16cid:durableId="1926959734">
    <w:abstractNumId w:val="2"/>
  </w:num>
  <w:num w:numId="8" w16cid:durableId="178545357">
    <w:abstractNumId w:val="1"/>
  </w:num>
  <w:num w:numId="9" w16cid:durableId="78350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821347"/>
  <w14:defaultImageDpi w14:val="300"/>
  <w15:docId w15:val="{82A62A18-E5C4-4B39-8796-43DC7B4D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52" w:lineRule="auto"/>
    </w:pPr>
    <w:rPr>
      <w:rFonts w:ascii="Arial" w:hAnsi="Arial"/>
      <w:color w:val="22222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B26A2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3D2B1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spacing w:after="40"/>
      <w:ind w:left="72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spacing w:after="40"/>
      <w:ind w:left="720"/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1774</Characters>
  <Application>Microsoft Office Word</Application>
  <DocSecurity>0</DocSecurity>
  <Lines>93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account update</dc:title>
  <dc:subject>Fictitious Gesso Federal proof-library artifact</dc:subject>
  <dc:creator>Gesso Federal | We take the paperwork out of federal work.</dc:creator>
  <cp:keywords/>
  <dc:description>Synthetic demonstration file. No real client information.</dc:description>
  <cp:lastModifiedBy>Gesso Federal | We take the paperwork out of federal work.</cp:lastModifiedBy>
  <cp:revision>2</cp:revision>
  <dcterms:created xsi:type="dcterms:W3CDTF">2013-12-23T23:15:00Z</dcterms:created>
  <dcterms:modified xsi:type="dcterms:W3CDTF">2026-08-19T12:32:00Z</dcterms:modified>
  <cp:category/>
</cp:coreProperties>
</file>