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C6E15" w14:textId="77777777">
      <w:pPr>
        <w:spacing w:after="100"/>
      </w:pPr>
      <w:r>
        <w:rPr>
          <w:b/>
          <w:color w:val="9B1C1C"/>
        </w:rPr>
        <w:t>FICTITIOUS DEMONSTRATION SAMPLE</w:t>
      </w:r>
    </w:p>
    <w:p w14:paraId="3D27CD5F" w14:textId="77777777">
      <w:pPr>
        <w:spacing w:after="200"/>
      </w:pPr>
      <w:r>
        <w:rPr>
          <w:b/>
          <w:color w:val="1F3A5F"/>
          <w:sz w:val="44"/>
        </w:rPr>
        <w:t>Administrative Volume | RFQ 2099D-01</w:t>
      </w:r>
    </w:p>
    <w:tbl>
      <w:tblPr>
        <w:tblW w:w="9360" w:type="dxa"/>
        <w:tblInd w:w="120" w:type="dxa"/>
        <w:tblLayout w:type="fixed"/>
        <w:tblLook w:val="04A0" w:firstRow="1" w:lastRow="0" w:firstColumn="1" w:lastColumn="0" w:noHBand="0" w:noVBand="1"/>
      </w:tblPr>
      <w:tblGrid>
        <w:gridCol w:w="9360"/>
      </w:tblGrid>
      <w:tr w14:paraId="5405C75C" w14:textId="77777777">
        <w:trPr>
          <w:cantSplit/>
        </w:trPr>
        <w:tc>
          <w:tcPr>
            <w:tcW w:w="9360" w:type="dxa"/>
            <w:shd w:val="clear" w:color="auto" w:fill="E8EEF5"/>
            <w:tcMar>
              <w:top w:w="80" w:type="dxa"/>
              <w:left w:w="120" w:type="dxa"/>
              <w:bottom w:w="80" w:type="dxa"/>
              <w:right w:w="120" w:type="dxa"/>
            </w:tcMar>
            <w:vAlign w:val="center"/>
          </w:tcPr>
          <w:p w14:paraId="3AFE9779" w14:textId="77777777">
            <w:pPr>
              <w:spacing w:after="0"/>
            </w:pPr>
            <w:r>
              <w:rPr>
                <w:b/>
                <w:color w:val="1F3A5F"/>
                <w:sz w:val="19"/>
              </w:rPr>
              <w:t>FICTIONAL DEMONSTRATION SAMPLE.</w:t>
            </w:r>
            <w:r>
              <w:rPr>
                <w:color w:val="1F3A5F"/>
                <w:sz w:val="19"/>
              </w:rPr>
              <w:t xml:space="preserve"> This independently invented quotation was never submitted to the Government and does not contain client information.</w:t>
            </w:r>
          </w:p>
        </w:tc>
      </w:tr>
    </w:tbl>
    <w:p w14:paraId="7CBDFC6B" w14:textId="77777777">
      <w:pPr>
        <w:pStyle w:val="Heading1"/>
      </w:pPr>
      <w:r>
        <w:t>1. Offeror and quotation data</w:t>
      </w:r>
    </w:p>
    <w:tbl>
      <w:tblPr>
        <w:tblStyle w:val="TableGrid"/>
        <w:tblW w:w="9360" w:type="dxa"/>
        <w:tblInd w:w="120" w:type="dxa"/>
        <w:tblLayout w:type="fixed"/>
        <w:tblLook w:val="04A0" w:firstRow="1" w:lastRow="0" w:firstColumn="1" w:lastColumn="0" w:noHBand="0" w:noVBand="1"/>
      </w:tblPr>
      <w:tblGrid>
        <w:gridCol w:w="2700"/>
        <w:gridCol w:w="6660"/>
      </w:tblGrid>
      <w:tr w14:paraId="1C9A511B" w14:textId="77777777">
        <w:trPr>
          <w:cantSplit/>
          <w:tblHeader/>
        </w:trPr>
        <w:tc>
          <w:tcPr>
            <w:tcW w:w="2700" w:type="dxa"/>
            <w:shd w:val="clear" w:color="auto" w:fill="2E74B5"/>
            <w:tcMar>
              <w:top w:w="80" w:type="dxa"/>
              <w:left w:w="120" w:type="dxa"/>
              <w:bottom w:w="80" w:type="dxa"/>
              <w:right w:w="120" w:type="dxa"/>
            </w:tcMar>
            <w:vAlign w:val="center"/>
          </w:tcPr>
          <w:p w14:paraId="1F899992" w14:textId="77777777">
            <w:pPr>
              <w:spacing w:after="0"/>
            </w:pPr>
            <w:r>
              <w:rPr>
                <w:b/>
                <w:color w:val="FFFFFF"/>
                <w:sz w:val="18"/>
              </w:rPr>
              <w:t>Field</w:t>
            </w:r>
          </w:p>
        </w:tc>
        <w:tc>
          <w:tcPr>
            <w:tcW w:w="6660" w:type="dxa"/>
            <w:shd w:val="clear" w:color="auto" w:fill="2E74B5"/>
            <w:tcMar>
              <w:top w:w="80" w:type="dxa"/>
              <w:left w:w="120" w:type="dxa"/>
              <w:bottom w:w="80" w:type="dxa"/>
              <w:right w:w="120" w:type="dxa"/>
            </w:tcMar>
            <w:vAlign w:val="center"/>
          </w:tcPr>
          <w:p w14:paraId="7CD543E3" w14:textId="77777777">
            <w:pPr>
              <w:spacing w:after="0"/>
            </w:pPr>
            <w:r>
              <w:rPr>
                <w:b/>
                <w:color w:val="FFFFFF"/>
                <w:sz w:val="18"/>
              </w:rPr>
              <w:t>Meridian response</w:t>
            </w:r>
          </w:p>
        </w:tc>
      </w:tr>
      <w:tr w14:paraId="1A444522" w14:textId="77777777">
        <w:trPr>
          <w:cantSplit/>
        </w:trPr>
        <w:tc>
          <w:tcPr>
            <w:tcW w:w="2700" w:type="dxa"/>
            <w:tcMar>
              <w:top w:w="80" w:type="dxa"/>
              <w:left w:w="120" w:type="dxa"/>
              <w:bottom w:w="80" w:type="dxa"/>
              <w:right w:w="120" w:type="dxa"/>
            </w:tcMar>
            <w:vAlign w:val="center"/>
          </w:tcPr>
          <w:p w14:paraId="6726332D" w14:textId="77777777">
            <w:pPr>
              <w:spacing w:after="0"/>
            </w:pPr>
            <w:r>
              <w:rPr>
                <w:sz w:val="18"/>
              </w:rPr>
              <w:t>Legal business name</w:t>
            </w:r>
          </w:p>
        </w:tc>
        <w:tc>
          <w:tcPr>
            <w:tcW w:w="6660" w:type="dxa"/>
            <w:tcMar>
              <w:top w:w="80" w:type="dxa"/>
              <w:left w:w="120" w:type="dxa"/>
              <w:bottom w:w="80" w:type="dxa"/>
              <w:right w:w="120" w:type="dxa"/>
            </w:tcMar>
            <w:vAlign w:val="center"/>
          </w:tcPr>
          <w:p w14:paraId="3F86324B" w14:textId="77777777">
            <w:pPr>
              <w:spacing w:after="0"/>
            </w:pPr>
            <w:r>
              <w:rPr>
                <w:sz w:val="18"/>
              </w:rPr>
              <w:t>Meridian Support Services, Inc.</w:t>
            </w:r>
          </w:p>
        </w:tc>
      </w:tr>
      <w:tr w14:paraId="0B969BFC" w14:textId="77777777">
        <w:trPr>
          <w:cantSplit/>
        </w:trPr>
        <w:tc>
          <w:tcPr>
            <w:tcW w:w="2700" w:type="dxa"/>
            <w:shd w:val="clear" w:color="auto" w:fill="F7F7F7"/>
            <w:tcMar>
              <w:top w:w="80" w:type="dxa"/>
              <w:left w:w="120" w:type="dxa"/>
              <w:bottom w:w="80" w:type="dxa"/>
              <w:right w:w="120" w:type="dxa"/>
            </w:tcMar>
            <w:vAlign w:val="center"/>
          </w:tcPr>
          <w:p w14:paraId="481CF3AE" w14:textId="77777777">
            <w:pPr>
              <w:spacing w:after="0"/>
            </w:pPr>
            <w:r>
              <w:rPr>
                <w:sz w:val="18"/>
              </w:rPr>
              <w:t>UEI / CAGE</w:t>
            </w:r>
          </w:p>
        </w:tc>
        <w:tc>
          <w:tcPr>
            <w:tcW w:w="6660" w:type="dxa"/>
            <w:shd w:val="clear" w:color="auto" w:fill="F7F7F7"/>
            <w:tcMar>
              <w:top w:w="80" w:type="dxa"/>
              <w:left w:w="120" w:type="dxa"/>
              <w:bottom w:w="80" w:type="dxa"/>
              <w:right w:w="120" w:type="dxa"/>
            </w:tcMar>
            <w:vAlign w:val="center"/>
          </w:tcPr>
          <w:p w14:paraId="19BD3B3F" w14:textId="77777777">
            <w:pPr>
              <w:spacing w:after="0"/>
            </w:pPr>
            <w:r>
              <w:rPr>
                <w:sz w:val="18"/>
              </w:rPr>
              <w:t>DEMMERIDIAN1 / 7DEM0</w:t>
            </w:r>
          </w:p>
        </w:tc>
      </w:tr>
      <w:tr w14:paraId="002DCBBD" w14:textId="77777777">
        <w:trPr>
          <w:cantSplit/>
        </w:trPr>
        <w:tc>
          <w:tcPr>
            <w:tcW w:w="2700" w:type="dxa"/>
            <w:tcMar>
              <w:top w:w="80" w:type="dxa"/>
              <w:left w:w="120" w:type="dxa"/>
              <w:bottom w:w="80" w:type="dxa"/>
              <w:right w:w="120" w:type="dxa"/>
            </w:tcMar>
            <w:vAlign w:val="center"/>
          </w:tcPr>
          <w:p w14:paraId="2BEAB996" w14:textId="77777777">
            <w:pPr>
              <w:spacing w:after="0"/>
            </w:pPr>
            <w:r>
              <w:rPr>
                <w:sz w:val="18"/>
              </w:rPr>
              <w:t>GSA Schedule / SIN</w:t>
            </w:r>
          </w:p>
        </w:tc>
        <w:tc>
          <w:tcPr>
            <w:tcW w:w="6660" w:type="dxa"/>
            <w:tcMar>
              <w:top w:w="80" w:type="dxa"/>
              <w:left w:w="120" w:type="dxa"/>
              <w:bottom w:w="80" w:type="dxa"/>
              <w:right w:w="120" w:type="dxa"/>
            </w:tcMar>
            <w:vAlign w:val="center"/>
          </w:tcPr>
          <w:p w14:paraId="66DE7B51" w14:textId="77777777">
            <w:pPr>
              <w:spacing w:after="0"/>
            </w:pPr>
            <w:r>
              <w:rPr>
                <w:sz w:val="18"/>
              </w:rPr>
              <w:t>47QDEM021D0042 / 541611</w:t>
            </w:r>
          </w:p>
        </w:tc>
      </w:tr>
      <w:tr w14:paraId="1AE65C8E" w14:textId="77777777">
        <w:trPr>
          <w:cantSplit/>
        </w:trPr>
        <w:tc>
          <w:tcPr>
            <w:tcW w:w="2700" w:type="dxa"/>
            <w:shd w:val="clear" w:color="auto" w:fill="F7F7F7"/>
            <w:tcMar>
              <w:top w:w="80" w:type="dxa"/>
              <w:left w:w="120" w:type="dxa"/>
              <w:bottom w:w="80" w:type="dxa"/>
              <w:right w:w="120" w:type="dxa"/>
            </w:tcMar>
            <w:vAlign w:val="center"/>
          </w:tcPr>
          <w:p w14:paraId="77EDC80E" w14:textId="77777777">
            <w:pPr>
              <w:spacing w:after="0"/>
            </w:pPr>
            <w:r>
              <w:rPr>
                <w:sz w:val="18"/>
              </w:rPr>
              <w:t>Business status</w:t>
            </w:r>
          </w:p>
        </w:tc>
        <w:tc>
          <w:tcPr>
            <w:tcW w:w="6660" w:type="dxa"/>
            <w:shd w:val="clear" w:color="auto" w:fill="F7F7F7"/>
            <w:tcMar>
              <w:top w:w="80" w:type="dxa"/>
              <w:left w:w="120" w:type="dxa"/>
              <w:bottom w:w="80" w:type="dxa"/>
              <w:right w:w="120" w:type="dxa"/>
            </w:tcMar>
            <w:vAlign w:val="center"/>
          </w:tcPr>
          <w:p w14:paraId="7820BC57" w14:textId="77777777">
            <w:pPr>
              <w:spacing w:after="0"/>
            </w:pPr>
            <w:r>
              <w:rPr>
                <w:sz w:val="18"/>
              </w:rPr>
              <w:t>Small business; women-owned small business</w:t>
            </w:r>
          </w:p>
        </w:tc>
      </w:tr>
      <w:tr w14:paraId="546E3CC8" w14:textId="77777777">
        <w:trPr>
          <w:cantSplit/>
        </w:trPr>
        <w:tc>
          <w:tcPr>
            <w:tcW w:w="2700" w:type="dxa"/>
            <w:tcMar>
              <w:top w:w="80" w:type="dxa"/>
              <w:left w:w="120" w:type="dxa"/>
              <w:bottom w:w="80" w:type="dxa"/>
              <w:right w:w="120" w:type="dxa"/>
            </w:tcMar>
            <w:vAlign w:val="center"/>
          </w:tcPr>
          <w:p w14:paraId="12796C4F" w14:textId="77777777">
            <w:pPr>
              <w:spacing w:after="0"/>
            </w:pPr>
            <w:r>
              <w:rPr>
                <w:sz w:val="18"/>
              </w:rPr>
              <w:t>SAM registration</w:t>
            </w:r>
          </w:p>
        </w:tc>
        <w:tc>
          <w:tcPr>
            <w:tcW w:w="6660" w:type="dxa"/>
            <w:tcMar>
              <w:top w:w="80" w:type="dxa"/>
              <w:left w:w="120" w:type="dxa"/>
              <w:bottom w:w="80" w:type="dxa"/>
              <w:right w:w="120" w:type="dxa"/>
            </w:tcMar>
            <w:vAlign w:val="center"/>
          </w:tcPr>
          <w:p w14:paraId="573CD96E" w14:textId="77777777">
            <w:pPr>
              <w:spacing w:after="0"/>
            </w:pPr>
            <w:r>
              <w:rPr>
                <w:sz w:val="18"/>
              </w:rPr>
              <w:t>Active through 15 February 2027; representations and certifications updated 02 May 2026</w:t>
            </w:r>
          </w:p>
        </w:tc>
      </w:tr>
      <w:tr w14:paraId="08466A46" w14:textId="77777777">
        <w:trPr>
          <w:cantSplit/>
        </w:trPr>
        <w:tc>
          <w:tcPr>
            <w:tcW w:w="2700" w:type="dxa"/>
            <w:shd w:val="clear" w:color="auto" w:fill="F7F7F7"/>
            <w:tcMar>
              <w:top w:w="80" w:type="dxa"/>
              <w:left w:w="120" w:type="dxa"/>
              <w:bottom w:w="80" w:type="dxa"/>
              <w:right w:w="120" w:type="dxa"/>
            </w:tcMar>
            <w:vAlign w:val="center"/>
          </w:tcPr>
          <w:p w14:paraId="241EAD1C" w14:textId="77777777">
            <w:pPr>
              <w:spacing w:after="0"/>
            </w:pPr>
            <w:r>
              <w:rPr>
                <w:sz w:val="18"/>
              </w:rPr>
              <w:t>Section 889 representation</w:t>
            </w:r>
          </w:p>
        </w:tc>
        <w:tc>
          <w:tcPr>
            <w:tcW w:w="6660" w:type="dxa"/>
            <w:shd w:val="clear" w:color="auto" w:fill="F7F7F7"/>
            <w:tcMar>
              <w:top w:w="80" w:type="dxa"/>
              <w:left w:w="120" w:type="dxa"/>
              <w:bottom w:w="80" w:type="dxa"/>
              <w:right w:w="120" w:type="dxa"/>
            </w:tcMar>
            <w:vAlign w:val="center"/>
          </w:tcPr>
          <w:p w14:paraId="47E3C697" w14:textId="77777777">
            <w:pPr>
              <w:spacing w:after="0"/>
            </w:pPr>
            <w:r>
              <w:rPr>
                <w:sz w:val="18"/>
              </w:rPr>
              <w:t>Meridian does not provide or use covered telecommunications equipment or services; affirmed 02 May 2026</w:t>
            </w:r>
          </w:p>
        </w:tc>
      </w:tr>
      <w:tr w14:paraId="6950EB55" w14:textId="77777777">
        <w:trPr>
          <w:cantSplit/>
        </w:trPr>
        <w:tc>
          <w:tcPr>
            <w:tcW w:w="2700" w:type="dxa"/>
            <w:tcMar>
              <w:top w:w="80" w:type="dxa"/>
              <w:left w:w="120" w:type="dxa"/>
              <w:bottom w:w="80" w:type="dxa"/>
              <w:right w:w="120" w:type="dxa"/>
            </w:tcMar>
            <w:vAlign w:val="center"/>
          </w:tcPr>
          <w:p w14:paraId="1067A3A0" w14:textId="77777777">
            <w:pPr>
              <w:spacing w:after="0"/>
            </w:pPr>
            <w:r>
              <w:rPr>
                <w:sz w:val="18"/>
              </w:rPr>
              <w:t>Request</w:t>
            </w:r>
          </w:p>
        </w:tc>
        <w:tc>
          <w:tcPr>
            <w:tcW w:w="6660" w:type="dxa"/>
            <w:tcMar>
              <w:top w:w="80" w:type="dxa"/>
              <w:left w:w="120" w:type="dxa"/>
              <w:bottom w:w="80" w:type="dxa"/>
              <w:right w:w="120" w:type="dxa"/>
            </w:tcMar>
            <w:vAlign w:val="center"/>
          </w:tcPr>
          <w:p w14:paraId="72FCDA55" w14:textId="77777777">
            <w:pPr>
              <w:spacing w:after="0"/>
            </w:pPr>
            <w:r>
              <w:rPr>
                <w:sz w:val="18"/>
              </w:rPr>
              <w:t>RFQ 2099D-01, Recovery Grant Portfolio Operations Support</w:t>
            </w:r>
          </w:p>
        </w:tc>
      </w:tr>
      <w:tr w14:paraId="73380EC3" w14:textId="77777777">
        <w:trPr>
          <w:cantSplit/>
        </w:trPr>
        <w:tc>
          <w:tcPr>
            <w:tcW w:w="2700" w:type="dxa"/>
            <w:shd w:val="clear" w:color="auto" w:fill="F7F7F7"/>
            <w:tcMar>
              <w:top w:w="80" w:type="dxa"/>
              <w:left w:w="120" w:type="dxa"/>
              <w:bottom w:w="80" w:type="dxa"/>
              <w:right w:w="120" w:type="dxa"/>
            </w:tcMar>
            <w:vAlign w:val="center"/>
          </w:tcPr>
          <w:p w14:paraId="606110D7" w14:textId="77777777">
            <w:pPr>
              <w:spacing w:after="0"/>
            </w:pPr>
            <w:r>
              <w:rPr>
                <w:sz w:val="18"/>
              </w:rPr>
              <w:t>Quote validity</w:t>
            </w:r>
          </w:p>
        </w:tc>
        <w:tc>
          <w:tcPr>
            <w:tcW w:w="6660" w:type="dxa"/>
            <w:shd w:val="clear" w:color="auto" w:fill="F7F7F7"/>
            <w:tcMar>
              <w:top w:w="80" w:type="dxa"/>
              <w:left w:w="120" w:type="dxa"/>
              <w:bottom w:w="80" w:type="dxa"/>
              <w:right w:w="120" w:type="dxa"/>
            </w:tcMar>
            <w:vAlign w:val="center"/>
          </w:tcPr>
          <w:p w14:paraId="06CFF6B4" w14:textId="77777777">
            <w:pPr>
              <w:spacing w:after="0"/>
            </w:pPr>
            <w:r>
              <w:rPr>
                <w:sz w:val="18"/>
              </w:rPr>
              <w:t>60 calendar days after the 18 September 2026 closing date</w:t>
            </w:r>
          </w:p>
        </w:tc>
      </w:tr>
      <w:tr w14:paraId="6742EC38" w14:textId="77777777">
        <w:trPr>
          <w:cantSplit/>
        </w:trPr>
        <w:tc>
          <w:tcPr>
            <w:tcW w:w="2700" w:type="dxa"/>
            <w:tcMar>
              <w:top w:w="80" w:type="dxa"/>
              <w:left w:w="120" w:type="dxa"/>
              <w:bottom w:w="80" w:type="dxa"/>
              <w:right w:w="120" w:type="dxa"/>
            </w:tcMar>
            <w:vAlign w:val="center"/>
          </w:tcPr>
          <w:p w14:paraId="489B3198" w14:textId="77777777">
            <w:pPr>
              <w:spacing w:after="0"/>
            </w:pPr>
            <w:r>
              <w:rPr>
                <w:sz w:val="18"/>
              </w:rPr>
              <w:t>Teaming</w:t>
            </w:r>
          </w:p>
        </w:tc>
        <w:tc>
          <w:tcPr>
            <w:tcW w:w="6660" w:type="dxa"/>
            <w:tcMar>
              <w:top w:w="80" w:type="dxa"/>
              <w:left w:w="120" w:type="dxa"/>
              <w:bottom w:w="80" w:type="dxa"/>
              <w:right w:w="120" w:type="dxa"/>
            </w:tcMar>
            <w:vAlign w:val="center"/>
          </w:tcPr>
          <w:p w14:paraId="04CA7DA6" w14:textId="77777777">
            <w:pPr>
              <w:spacing w:after="0"/>
            </w:pPr>
            <w:r>
              <w:rPr>
                <w:sz w:val="18"/>
              </w:rPr>
              <w:t>Demonstration role: sole intended prime contractor; no contractor team arrangement</w:t>
            </w:r>
          </w:p>
        </w:tc>
      </w:tr>
      <w:tr w14:paraId="0FEF2EB3" w14:textId="77777777">
        <w:trPr>
          <w:cantSplit/>
        </w:trPr>
        <w:tc>
          <w:tcPr>
            <w:tcW w:w="2700" w:type="dxa"/>
            <w:shd w:val="clear" w:color="auto" w:fill="F7F7F7"/>
            <w:tcMar>
              <w:top w:w="80" w:type="dxa"/>
              <w:left w:w="120" w:type="dxa"/>
              <w:bottom w:w="80" w:type="dxa"/>
              <w:right w:w="120" w:type="dxa"/>
            </w:tcMar>
            <w:vAlign w:val="center"/>
          </w:tcPr>
          <w:p w14:paraId="0D6D12EA" w14:textId="77777777">
            <w:pPr>
              <w:spacing w:after="0"/>
            </w:pPr>
            <w:r>
              <w:rPr>
                <w:sz w:val="18"/>
              </w:rPr>
              <w:t>Exceptions</w:t>
            </w:r>
          </w:p>
        </w:tc>
        <w:tc>
          <w:tcPr>
            <w:tcW w:w="6660" w:type="dxa"/>
            <w:shd w:val="clear" w:color="auto" w:fill="F7F7F7"/>
            <w:tcMar>
              <w:top w:w="80" w:type="dxa"/>
              <w:left w:w="120" w:type="dxa"/>
              <w:bottom w:w="80" w:type="dxa"/>
              <w:right w:w="120" w:type="dxa"/>
            </w:tcMar>
            <w:vAlign w:val="center"/>
          </w:tcPr>
          <w:p w14:paraId="2C7B4412" w14:textId="77777777">
            <w:pPr>
              <w:spacing w:after="0"/>
            </w:pPr>
            <w:r>
              <w:rPr>
                <w:sz w:val="18"/>
              </w:rPr>
              <w:t>None</w:t>
            </w:r>
          </w:p>
        </w:tc>
      </w:tr>
      <w:tr w14:paraId="21BE55A5" w14:textId="77777777">
        <w:trPr>
          <w:cantSplit/>
        </w:trPr>
        <w:tc>
          <w:tcPr>
            <w:tcW w:w="2700" w:type="dxa"/>
            <w:tcMar>
              <w:top w:w="80" w:type="dxa"/>
              <w:left w:w="120" w:type="dxa"/>
              <w:bottom w:w="80" w:type="dxa"/>
              <w:right w:w="120" w:type="dxa"/>
            </w:tcMar>
            <w:vAlign w:val="center"/>
          </w:tcPr>
          <w:p w14:paraId="65DF396E" w14:textId="77777777">
            <w:pPr>
              <w:spacing w:after="0"/>
            </w:pPr>
            <w:r>
              <w:rPr>
                <w:sz w:val="18"/>
              </w:rPr>
              <w:t>Authorized contact</w:t>
            </w:r>
          </w:p>
        </w:tc>
        <w:tc>
          <w:tcPr>
            <w:tcW w:w="6660" w:type="dxa"/>
            <w:tcMar>
              <w:top w:w="80" w:type="dxa"/>
              <w:left w:w="120" w:type="dxa"/>
              <w:bottom w:w="80" w:type="dxa"/>
              <w:right w:w="120" w:type="dxa"/>
            </w:tcMar>
            <w:vAlign w:val="center"/>
          </w:tcPr>
          <w:p w14:paraId="3FAB17D6" w14:textId="77777777">
            <w:pPr>
              <w:spacing w:after="0"/>
            </w:pPr>
            <w:r>
              <w:rPr>
                <w:sz w:val="18"/>
              </w:rPr>
              <w:t>Nora Bennett, President; 608-555-0144; nora.bennett@meridian-support.example</w:t>
            </w:r>
          </w:p>
        </w:tc>
      </w:tr>
    </w:tbl>
    <w:p w14:paraId="1DE859CF" w14:textId="77777777">
      <w:pPr>
        <w:spacing w:after="0"/>
      </w:pPr>
    </w:p>
    <w:p w14:paraId="75CA1CE2" w14:textId="77777777">
      <w:pPr>
        <w:keepLines/>
      </w:pPr>
      <w:r>
        <w:t>The demonstration request contains no amendments. A live submission would recheck eBuy immediately before upload and acknowledge every posted amendment in this volume and in eBuy comments.</w:t>
      </w:r>
    </w:p>
    <w:p w14:paraId="65C2FD44" w14:textId="77777777">
      <w:pPr>
        <w:pStyle w:val="Heading1"/>
      </w:pPr>
      <w:r>
        <w:t>2. Eligibility, labor, and representations</w:t>
      </w:r>
    </w:p>
    <w:p w14:paraId="047AFA97" w14:textId="77777777">
      <w:pPr>
        <w:keepLines/>
      </w:pPr>
      <w:r>
        <w:t>Meridian confirms that the five proposed labor categories are on GSA MAS contract 47QDEM021D0042 under SIN 541611. Every offered rate is at or below its applicable awarded ceiling. The native price workbook shows the category, staffing level, hours, offered rate, ceiling, check, and extended price for each performance period.</w:t>
      </w:r>
    </w:p>
    <w:p w14:paraId="7CEC2102" w14:textId="77777777">
      <w:pPr>
        <w:keepLines/>
      </w:pPr>
      <w:r>
        <w:t>Meridian has reviewed the fictional request's small-business, SAM, representation, file, page-limit, and signature requirements. The company proposes no open-market items and no deviation from the stated 4.5-FTE labor mix.</w:t>
      </w:r>
    </w:p>
    <w:p w14:paraId="09BB45BD" w14:textId="77777777">
      <w:pPr>
        <w:pStyle w:val="Heading1"/>
      </w:pPr>
      <w:r>
        <w:lastRenderedPageBreak/>
        <w:t>3. Organizational conflict of interest statement</w:t>
      </w:r>
    </w:p>
    <w:p w14:paraId="706F0873" w14:textId="77777777">
      <w:pPr>
        <w:keepLines/>
      </w:pPr>
      <w:r>
        <w:t>Meridian has identified no financial interest, impaired-objectivity role, unequal-access condition, or biased-ground-rules involvement related to this fictional requirement. The quotation uses Meridian's own invented performance records and the common information in the demonstration request. Meridian would notify the Contracting Officer if a live conflict assessment changed before award or during performance.</w:t>
      </w:r>
    </w:p>
    <w:p w14:paraId="6EA404BB" w14:textId="77777777">
      <w:pPr>
        <w:pStyle w:val="Heading1"/>
      </w:pPr>
      <w:r>
        <w:t>4. Signed cover letter</w:t>
      </w:r>
    </w:p>
    <w:p w14:paraId="25567BF0" w14:textId="77777777">
      <w:pPr>
        <w:keepLines/>
      </w:pPr>
      <w:r>
        <w:t>16 September 2026</w:t>
      </w:r>
    </w:p>
    <w:p w14:paraId="01DD5F5D" w14:textId="77777777">
      <w:pPr>
        <w:keepLines/>
      </w:pPr>
      <w:r>
        <w:t>National Community Resilience Agency</w:t>
      </w:r>
    </w:p>
    <w:p w14:paraId="24A0169A" w14:textId="77777777">
      <w:pPr>
        <w:keepLines/>
      </w:pPr>
      <w:r>
        <w:t>Office of Recovery Grants</w:t>
      </w:r>
    </w:p>
    <w:p w14:paraId="2C8FE50B" w14:textId="77777777">
      <w:pPr>
        <w:keepLines/>
      </w:pPr>
      <w:r>
        <w:t>Subject: Meridian Support Services, Inc. quotation for RFQ 2099D-01</w:t>
      </w:r>
    </w:p>
    <w:p w14:paraId="2752B256" w14:textId="77777777">
      <w:pPr>
        <w:keepLines/>
      </w:pPr>
      <w:r>
        <w:t>This demonstration package includes administrative, technical, and price files for Recovery Grant Portfolio Operations Support. The technical volume follows the evaluation order, addresses PWS 4.1 through 4.6, maps the named team to the priced labor categories, and identifies the role and period for each performance example. The price workbook preserves formulas, hours, ceiling checks, and linked totals.</w:t>
      </w:r>
    </w:p>
    <w:p w14:paraId="2A9050D4" w14:textId="77777777">
      <w:pPr>
        <w:keepLines/>
      </w:pPr>
      <w:r>
        <w:t>Respectfully submitted,</w:t>
      </w:r>
    </w:p>
    <w:p w14:paraId="7D79A8B5" w14:textId="77777777">
      <w:pPr>
        <w:keepLines/>
      </w:pPr>
      <w:r>
        <w:t>/s/ Nora Bennett (fictional demonstration signature)</w:t>
      </w:r>
    </w:p>
    <w:p w14:paraId="3F4A23D6" w14:textId="77777777">
      <w:pPr>
        <w:keepLines/>
      </w:pPr>
      <w:r>
        <w:t>Nora Bennett, President</w:t>
      </w:r>
    </w:p>
    <w:p w14:paraId="1A4D9ACB" w14:textId="77777777">
      <w:pPr>
        <w:keepLines/>
      </w:pPr>
      <w:r>
        <w:t>608-555-0144 | nora.bennett@meridian-support.example</w:t>
      </w:r>
    </w:p>
    <w:sectPr>
      <w:headerReference w:type="default" r:id="rId8"/>
      <w:footerReference w:type="default" r:id="rId9"/>
      <w:pgSz w:w="12240" w:h="15840"/>
      <w:pgMar w:top="1440" w:right="1440" w:bottom="1440"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5FAF4" w14:textId="77777777">
      <w:pPr>
        <w:spacing w:after="0" w:line="240" w:lineRule="auto"/>
      </w:pPr>
      <w:r>
        <w:separator/>
      </w:r>
    </w:p>
  </w:endnote>
  <w:endnote w:type="continuationSeparator" w:id="0">
    <w:p w14:paraId="7C297B7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E5C6" w14:textId="77777777">
    <w:pPr>
      <w:pStyle w:val="Footer"/>
    </w:pPr>
    <w:r>
      <w:rPr>
        <w:color w:val="666666"/>
        <w:sz w:val="18"/>
      </w:rPr>
      <w:t xml:space="preserve">FICTIONAL DEMONSTRATION SAMPLE    |    Page </w:t>
    </w:r>
    <w:r>
      <w:rPr>
        <w:color w:val="666666"/>
        <w:sz w:val="18"/>
      </w:rPr>
      <w:fldChar w:fldCharType="begin"/>
    </w:r>
    <w:r>
      <w:rPr>
        <w:color w:val="666666"/>
        <w:sz w:val="18"/>
      </w:rPr>
      <w:instrText xml:space="preserve"> PAGE </w:instrText>
    </w:r>
    <w:r>
      <w:rPr>
        <w:color w:val="666666"/>
        <w:sz w:val="18"/>
      </w:rPr>
      <w:fldChar w:fldCharType="separate"/>
    </w:r>
    <w:r>
      <w:rPr>
        <w:noProof/>
        <w:color w:val="666666"/>
        <w:sz w:val="18"/>
      </w:rPr>
      <w:t>1</w:t>
    </w:r>
    <w:r>
      <w:rPr>
        <w:color w:val="666666"/>
        <w:sz w:val="18"/>
      </w:rPr>
      <w:fldChar w:fldCharType="end"/>
    </w:r>
    <w:r>
      <w:rPr>
        <w:color w:val="666666"/>
        <w:sz w:val="18"/>
      </w:rPr>
      <w:t xml:space="preserve"> of </w:t>
    </w:r>
    <w:r>
      <w:rPr>
        <w:color w:val="666666"/>
        <w:sz w:val="18"/>
      </w:rPr>
      <w:fldChar w:fldCharType="begin"/>
    </w:r>
    <w:r>
      <w:rPr>
        <w:color w:val="666666"/>
        <w:sz w:val="18"/>
      </w:rPr>
      <w:instrText xml:space="preserve"> NUMPAGES </w:instrText>
    </w:r>
    <w:r>
      <w:rPr>
        <w:color w:val="666666"/>
        <w:sz w:val="18"/>
      </w:rPr>
      <w:fldChar w:fldCharType="separate"/>
    </w:r>
    <w:r>
      <w:rPr>
        <w:noProof/>
        <w:color w:val="666666"/>
        <w:sz w:val="18"/>
      </w:rPr>
      <w:t>2</w:t>
    </w:r>
    <w:r>
      <w:rPr>
        <w:color w:val="66666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B61AA" w14:textId="77777777">
      <w:pPr>
        <w:spacing w:after="0" w:line="240" w:lineRule="auto"/>
      </w:pPr>
      <w:r>
        <w:separator/>
      </w:r>
    </w:p>
  </w:footnote>
  <w:footnote w:type="continuationSeparator" w:id="0">
    <w:p w14:paraId="36A6092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404F" w14:textId="77777777">
    <w:pPr>
      <w:pStyle w:val="Header"/>
    </w:pPr>
    <w:r>
      <w:rPr>
        <w:b/>
        <w:color w:val="1F3A5F"/>
        <w:sz w:val="18"/>
      </w:rPr>
      <w:t>Meridian Support Services, Inc.</w:t>
    </w:r>
    <w:r>
      <w:rPr>
        <w:b/>
        <w:color w:val="9B1C1C"/>
        <w:sz w:val="18"/>
      </w:rPr>
      <w:t xml:space="preserve">    |    FICTIONAL DEMONSTRATION SAMPLE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2317138">
    <w:abstractNumId w:val="8"/>
  </w:num>
  <w:num w:numId="2" w16cid:durableId="1093823086">
    <w:abstractNumId w:val="6"/>
  </w:num>
  <w:num w:numId="3" w16cid:durableId="182522571">
    <w:abstractNumId w:val="5"/>
  </w:num>
  <w:num w:numId="4" w16cid:durableId="296687394">
    <w:abstractNumId w:val="4"/>
  </w:num>
  <w:num w:numId="5" w16cid:durableId="1694375775">
    <w:abstractNumId w:val="7"/>
  </w:num>
  <w:num w:numId="6" w16cid:durableId="745804374">
    <w:abstractNumId w:val="3"/>
  </w:num>
  <w:num w:numId="7" w16cid:durableId="2116092864">
    <w:abstractNumId w:val="2"/>
  </w:num>
  <w:num w:numId="8" w16cid:durableId="318772943">
    <w:abstractNumId w:val="1"/>
  </w:num>
  <w:num w:numId="9" w16cid:durableId="123159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DBED5B"/>
  <w14:defaultImageDpi w14:val="300"/>
  <w15:docId w15:val="{82A62A18-E5C4-4B39-8796-43DC7B4D1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line="252" w:lineRule="auto"/>
    </w:pPr>
    <w:rPr>
      <w:rFonts w:ascii="Arial" w:hAnsi="Arial"/>
      <w:color w:val="222222"/>
    </w:rPr>
  </w:style>
  <w:style w:type="paragraph" w:styleId="Heading1">
    <w:name w:val="heading 1"/>
    <w:basedOn w:val="Normal"/>
    <w:next w:val="Normal"/>
    <w:link w:val="Heading1Char"/>
    <w:uiPriority w:val="9"/>
    <w:qFormat/>
    <w:pPr>
      <w:keepNext/>
      <w:keepLines/>
      <w:spacing w:before="200" w:after="100"/>
      <w:outlineLvl w:val="0"/>
    </w:pPr>
    <w:rPr>
      <w:rFonts w:asciiTheme="majorHAnsi" w:eastAsiaTheme="majorEastAsia" w:hAnsiTheme="majorHAnsi" w:cstheme="majorBidi"/>
      <w:b/>
      <w:bCs/>
      <w:color w:val="2E74B5"/>
      <w:sz w:val="28"/>
      <w:szCs w:val="28"/>
    </w:rPr>
  </w:style>
  <w:style w:type="paragraph" w:styleId="Heading2">
    <w:name w:val="heading 2"/>
    <w:basedOn w:val="Normal"/>
    <w:next w:val="Normal"/>
    <w:link w:val="Heading2Char"/>
    <w:uiPriority w:val="9"/>
    <w:unhideWhenUsed/>
    <w:qFormat/>
    <w:pPr>
      <w:keepNext/>
      <w:keepLines/>
      <w:spacing w:before="160"/>
      <w:outlineLvl w:val="1"/>
    </w:pPr>
    <w:rPr>
      <w:rFonts w:asciiTheme="majorHAnsi" w:eastAsiaTheme="majorEastAsia" w:hAnsiTheme="majorHAnsi" w:cstheme="majorBidi"/>
      <w:b/>
      <w:bCs/>
      <w:color w:val="1F3A5F"/>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style>
  <w:style w:type="paragraph" w:styleId="BodyText2">
    <w:name w:val="Body Text 2"/>
    <w:basedOn w:val="Normal"/>
    <w:link w:val="BodyText2Char"/>
    <w:uiPriority w:val="99"/>
    <w:unhideWhenUsed/>
    <w:pPr>
      <w:spacing w:after="120" w:line="480" w:lineRule="auto"/>
    </w:pPr>
  </w:style>
  <w:style w:type="character" w:customStyle="1" w:styleId="BodyText2Char">
    <w:name w:val="Body Text 2 Char"/>
    <w:basedOn w:val="DefaultParagraphFont"/>
    <w:link w:val="BodyText2"/>
    <w:uiPriority w:val="99"/>
  </w:style>
  <w:style w:type="paragraph" w:styleId="BodyText3">
    <w:name w:val="Body Text 3"/>
    <w:basedOn w:val="Normal"/>
    <w:link w:val="BodyText3Char"/>
    <w:uiPriority w:val="99"/>
    <w:unhideWhenUsed/>
    <w:pPr>
      <w:spacing w:after="120"/>
    </w:pPr>
    <w:rPr>
      <w:sz w:val="16"/>
      <w:szCs w:val="16"/>
    </w:rPr>
  </w:style>
  <w:style w:type="character" w:customStyle="1" w:styleId="BodyText3Char">
    <w:name w:val="Body Text 3 Char"/>
    <w:basedOn w:val="DefaultParagraphFont"/>
    <w:link w:val="BodyText3"/>
    <w:uiPriority w:val="99"/>
    <w:rPr>
      <w:sz w:val="16"/>
      <w:szCs w:val="16"/>
    </w:rPr>
  </w:style>
  <w:style w:type="paragraph" w:styleId="List">
    <w:name w:val="List"/>
    <w:basedOn w:val="Normal"/>
    <w:uiPriority w:val="99"/>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unhideWhenUsed/>
    <w:pPr>
      <w:ind w:left="1080" w:hanging="360"/>
      <w:contextualSpacing/>
    </w:pPr>
  </w:style>
  <w:style w:type="paragraph" w:styleId="ListBullet">
    <w:name w:val="List Bullet"/>
    <w:basedOn w:val="Normal"/>
    <w:uiPriority w:val="99"/>
    <w:unhideWhenUsed/>
    <w:pPr>
      <w:numPr>
        <w:numId w:val="1"/>
      </w:numPr>
      <w:spacing w:after="40"/>
      <w:ind w:left="720"/>
      <w:contextualSpacing/>
    </w:pPr>
  </w:style>
  <w:style w:type="paragraph" w:styleId="ListBullet2">
    <w:name w:val="List Bullet 2"/>
    <w:basedOn w:val="Normal"/>
    <w:uiPriority w:val="99"/>
    <w:unhideWhenUsed/>
    <w:pPr>
      <w:numPr>
        <w:numId w:val="2"/>
      </w:numPr>
      <w:contextualSpacing/>
    </w:pPr>
  </w:style>
  <w:style w:type="paragraph" w:styleId="ListBullet3">
    <w:name w:val="List Bullet 3"/>
    <w:basedOn w:val="Normal"/>
    <w:uiPriority w:val="99"/>
    <w:unhideWhenUsed/>
    <w:pPr>
      <w:numPr>
        <w:numId w:val="3"/>
      </w:numPr>
      <w:contextualSpacing/>
    </w:pPr>
  </w:style>
  <w:style w:type="paragraph" w:styleId="ListNumber">
    <w:name w:val="List Number"/>
    <w:basedOn w:val="Normal"/>
    <w:uiPriority w:val="99"/>
    <w:unhideWhenUsed/>
    <w:pPr>
      <w:numPr>
        <w:numId w:val="5"/>
      </w:numPr>
      <w:spacing w:after="40"/>
      <w:ind w:left="720"/>
      <w:contextualSpacing/>
    </w:pPr>
  </w:style>
  <w:style w:type="paragraph" w:styleId="ListNumber2">
    <w:name w:val="List Number 2"/>
    <w:basedOn w:val="Normal"/>
    <w:uiPriority w:val="99"/>
    <w:unhideWhenUsed/>
    <w:pPr>
      <w:numPr>
        <w:numId w:val="6"/>
      </w:numPr>
      <w:contextualSpacing/>
    </w:pPr>
  </w:style>
  <w:style w:type="paragraph" w:styleId="ListNumber3">
    <w:name w:val="List Number 3"/>
    <w:basedOn w:val="Normal"/>
    <w:uiPriority w:val="99"/>
    <w:unhideWhenUsed/>
    <w:pPr>
      <w:numPr>
        <w:numId w:val="7"/>
      </w:numPr>
      <w:contextualSpacing/>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MacroText">
    <w:name w:val="macro"/>
    <w:link w:val="MacroTextChar"/>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pPr>
      <w:spacing w:line="240" w:lineRule="auto"/>
    </w:pPr>
    <w:rPr>
      <w:b/>
      <w:bCs/>
      <w:color w:val="4F81BD" w:themeColor="accent1"/>
      <w:sz w:val="18"/>
      <w:szCs w:val="18"/>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Emphasis">
    <w:name w:val="Subtle Emphasis"/>
    <w:basedOn w:val="DefaultParagraphFont"/>
    <w:uiPriority w:val="19"/>
    <w:qFormat/>
    <w:rPr>
      <w:i/>
      <w:iCs/>
      <w:color w:val="808080" w:themeColor="text1" w:themeTint="7F"/>
    </w:rPr>
  </w:style>
  <w:style w:type="character" w:styleId="IntenseEmphasis">
    <w:name w:val="Intense Emphasis"/>
    <w:basedOn w:val="DefaultParagraphFont"/>
    <w:uiPriority w:val="21"/>
    <w:qFormat/>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TOCHeading">
    <w:name w:val="TOC Heading"/>
    <w:basedOn w:val="Heading1"/>
    <w:next w:val="Normal"/>
    <w:uiPriority w:val="39"/>
    <w:semiHidden/>
    <w:unhideWhenUsed/>
    <w:qFormat/>
    <w:pPr>
      <w:outlineLvl w:val="9"/>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396</Words>
  <Characters>2620</Characters>
  <Application>Microsoft Office Word</Application>
  <DocSecurity>0</DocSecurity>
  <Lines>65</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Administrative Volume | RFQ 2099D-01</dc:title>
  <dc:subject>Fictitious public demonstration sample</dc:subject>
  <dc:creator>Fictional sample author</dc:creator>
  <cp:keywords/>
  <dc:description>Synthetic demonstration file. No real client information.</dc:description>
  <cp:lastModifiedBy>Fictional sample author</cp:lastModifiedBy>
  <cp:revision>2</cp:revision>
  <dcterms:created xsi:type="dcterms:W3CDTF">2013-12-23T23:15:00Z</dcterms:created>
  <dcterms:modified xsi:type="dcterms:W3CDTF">2026-08-19T12:32:00Z</dcterms:modified>
  <cp:category/>
</cp:coreProperties>
</file>