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C770" w14:textId="77777777">
      <w:pPr>
        <w:spacing w:after="100"/>
      </w:pPr>
      <w:r>
        <w:rPr>
          <w:b/>
          <w:color w:val="9B1C1C"/>
        </w:rPr>
        <w:t>FICTITIOUS DEMONSTRATION SAMPLE</w:t>
      </w:r>
    </w:p>
    <w:p w14:paraId="68BCDBFE" w14:textId="77777777">
      <w:pPr>
        <w:pBdr>
          <w:left w:val="single" w:sz="24" w:space="8" w:color="C4785A"/>
        </w:pBdr>
        <w:spacing w:after="200"/>
      </w:pPr>
      <w:r>
        <w:rPr>
          <w:rFonts w:ascii="Iowan Old Style" w:hAnsi="Iowan Old Style"/>
          <w:color w:val="3D2B1F"/>
          <w:sz w:val="44"/>
        </w:rPr>
        <w:t>From a vague update to a supported individual report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14:paraId="1BE3EC75" w14:textId="77777777">
        <w:trPr>
          <w:cantSplit/>
        </w:trPr>
        <w:tc>
          <w:tcPr>
            <w:tcW w:w="9360" w:type="dxa"/>
            <w:shd w:val="clear" w:color="auto" w:fill="F3EE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083FA" w14:textId="77777777">
            <w:pPr>
              <w:spacing w:after="0"/>
            </w:pPr>
            <w:r>
              <w:rPr>
                <w:b/>
                <w:color w:val="3D2B1F"/>
                <w:sz w:val="19"/>
              </w:rPr>
              <w:t>FICTITIOUS DEMONSTRATION SAMPLE.</w:t>
            </w:r>
            <w:r>
              <w:rPr>
                <w:color w:val="3D2B1F"/>
                <w:sz w:val="19"/>
              </w:rPr>
              <w:t xml:space="preserve"> Every person, work order, source record, and result is invented. This example shows one contributor update, a focused follow-up, and a monthly-report entry for civilian knowledge-base work.</w:t>
            </w:r>
          </w:p>
        </w:tc>
      </w:tr>
    </w:tbl>
    <w:p w14:paraId="11F307CB" w14:textId="77777777">
      <w:pPr>
        <w:pStyle w:val="Heading1"/>
      </w:pPr>
      <w:r>
        <w:t>Role and service basis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14:paraId="616F4649" w14:textId="77777777">
        <w:trPr>
          <w:cantSplit/>
          <w:tblHeader/>
        </w:trPr>
        <w:tc>
          <w:tcPr>
            <w:tcW w:w="2700" w:type="dxa"/>
            <w:shd w:val="clear" w:color="auto" w:fill="C4785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7EAE92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Field</w:t>
            </w:r>
          </w:p>
        </w:tc>
        <w:tc>
          <w:tcPr>
            <w:tcW w:w="6660" w:type="dxa"/>
            <w:shd w:val="clear" w:color="auto" w:fill="C4785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FBD6E1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Fictitious record</w:t>
            </w:r>
          </w:p>
        </w:tc>
      </w:tr>
      <w:tr w14:paraId="218A905A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8427A" w14:textId="77777777">
            <w:pPr>
              <w:spacing w:after="0"/>
            </w:pPr>
            <w:r>
              <w:rPr>
                <w:sz w:val="17"/>
              </w:rPr>
              <w:t>Contributor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B01A2" w14:textId="77777777">
            <w:pPr>
              <w:spacing w:after="0"/>
            </w:pPr>
            <w:r>
              <w:rPr>
                <w:sz w:val="17"/>
              </w:rPr>
              <w:t>Yolanda Briggs, Quality and Knowledge Lead</w:t>
            </w:r>
          </w:p>
        </w:tc>
      </w:tr>
      <w:tr w14:paraId="4A30FA8C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D080C5" w14:textId="77777777">
            <w:pPr>
              <w:spacing w:after="0"/>
            </w:pPr>
            <w:r>
              <w:rPr>
                <w:sz w:val="17"/>
              </w:rPr>
              <w:t>Work order and period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8E89F" w14:textId="77777777">
            <w:pPr>
              <w:spacing w:after="0"/>
            </w:pPr>
            <w:r>
              <w:rPr>
                <w:sz w:val="17"/>
              </w:rPr>
              <w:t>DCS-SVC-2026-01, July 2026</w:t>
            </w:r>
          </w:p>
        </w:tc>
      </w:tr>
      <w:tr w14:paraId="089D04FF" w14:textId="77777777">
        <w:trPr>
          <w:cantSplit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89E15" w14:textId="77777777">
            <w:pPr>
              <w:spacing w:after="0"/>
            </w:pPr>
            <w:r>
              <w:rPr>
                <w:sz w:val="17"/>
              </w:rPr>
              <w:t>Service requirement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56192" w14:textId="77777777">
            <w:pPr>
              <w:spacing w:after="0"/>
            </w:pPr>
            <w:r>
              <w:rPr>
                <w:sz w:val="17"/>
              </w:rPr>
              <w:t>SO-4: Maintain the approved knowledge base and route staff questions using current articles.</w:t>
            </w:r>
          </w:p>
        </w:tc>
      </w:tr>
      <w:tr w14:paraId="3E83AE7B" w14:textId="77777777">
        <w:trPr>
          <w:cantSplit/>
        </w:trPr>
        <w:tc>
          <w:tcPr>
            <w:tcW w:w="27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54DC8" w14:textId="77777777">
            <w:pPr>
              <w:spacing w:after="0"/>
            </w:pPr>
            <w:r>
              <w:rPr>
                <w:sz w:val="17"/>
              </w:rPr>
              <w:t>Evidence use</w:t>
            </w:r>
          </w:p>
        </w:tc>
        <w:tc>
          <w:tcPr>
            <w:tcW w:w="666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15AC67" w14:textId="77777777">
            <w:pPr>
              <w:spacing w:after="0"/>
            </w:pPr>
            <w:r>
              <w:rPr>
                <w:sz w:val="17"/>
              </w:rPr>
              <w:t>Retain the number and disposition of reviewed articles with the content-log entries that support the work.</w:t>
            </w:r>
          </w:p>
        </w:tc>
      </w:tr>
    </w:tbl>
    <w:p w14:paraId="5CC96DF6" w14:textId="77777777">
      <w:pPr>
        <w:spacing w:after="0"/>
      </w:pPr>
    </w:p>
    <w:p w14:paraId="368C68EF" w14:textId="77777777">
      <w:pPr>
        <w:pStyle w:val="Heading1"/>
      </w:pPr>
      <w:r>
        <w:t>Original input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14:paraId="48862768" w14:textId="77777777">
        <w:trPr>
          <w:cantSplit/>
        </w:trPr>
        <w:tc>
          <w:tcPr>
            <w:tcW w:w="9360" w:type="dxa"/>
            <w:shd w:val="clear" w:color="auto" w:fill="F3EE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A26840" w14:textId="77777777">
            <w:pPr>
              <w:spacing w:after="0"/>
            </w:pPr>
            <w:r>
              <w:rPr>
                <w:color w:val="3D2B1F"/>
                <w:sz w:val="19"/>
              </w:rPr>
              <w:t>Reviewed the knowledge base and updated articles for common routing questions.</w:t>
            </w:r>
          </w:p>
        </w:tc>
      </w:tr>
    </w:tbl>
    <w:p w14:paraId="5DA2978C" w14:textId="77777777">
      <w:pPr>
        <w:pStyle w:val="Heading1"/>
      </w:pPr>
      <w:r>
        <w:t>Focused follow-up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14:paraId="35016133" w14:textId="77777777">
        <w:trPr>
          <w:cantSplit/>
        </w:trPr>
        <w:tc>
          <w:tcPr>
            <w:tcW w:w="9360" w:type="dxa"/>
            <w:shd w:val="clear" w:color="auto" w:fill="F3EE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CBCBC" w14:textId="77777777">
            <w:pPr>
              <w:spacing w:after="0"/>
            </w:pPr>
            <w:r>
              <w:rPr>
                <w:color w:val="3D2B1F"/>
                <w:sz w:val="19"/>
              </w:rPr>
              <w:t>If the content log is available, how many approved articles did you update or retire in July, and which entries record the work?</w:t>
            </w:r>
          </w:p>
        </w:tc>
      </w:tr>
    </w:tbl>
    <w:p w14:paraId="10FAA065" w14:textId="77777777">
      <w:pPr>
        <w:keepLines/>
      </w:pPr>
      <w:r>
        <w:rPr>
          <w:b/>
        </w:rPr>
        <w:t>Contributor answer:</w:t>
      </w:r>
      <w:r>
        <w:t xml:space="preserve"> I updated 21 approved articles and retired 6 obsolete articles in July. The July Knowledge Content Log records all 27 actions in entries KB-201 through KB-227, with each entry marked updated or retired.</w:t>
      </w:r>
    </w:p>
    <w:p w14:paraId="79E80560" w14:textId="77777777">
      <w:pPr>
        <w:pStyle w:val="Heading1"/>
      </w:pPr>
      <w:r>
        <w:t>Improved individual report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14:paraId="409D8B84" w14:textId="77777777">
        <w:trPr>
          <w:cantSplit/>
        </w:trPr>
        <w:tc>
          <w:tcPr>
            <w:tcW w:w="9360" w:type="dxa"/>
            <w:shd w:val="clear" w:color="auto" w:fill="F3EEE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3270A" w14:textId="77777777">
            <w:pPr>
              <w:spacing w:after="0"/>
            </w:pPr>
            <w:r>
              <w:rPr>
                <w:color w:val="3D2B1F"/>
                <w:sz w:val="19"/>
              </w:rPr>
              <w:t>Yolanda reviewed 27 approved knowledge articles during July 2026 under SO-4. She updated 21 and retired 6 obsolete articles. The July Knowledge Content Log, entries KB-201 through KB-227, records each disposition.</w:t>
            </w:r>
          </w:p>
        </w:tc>
      </w:tr>
    </w:tbl>
    <w:p w14:paraId="76FE1B78" w14:textId="77777777">
      <w:pPr>
        <w:pStyle w:val="Heading1"/>
      </w:pPr>
      <w:r>
        <w:t>Metrics</w:t>
      </w:r>
    </w:p>
    <w:tbl>
      <w:tblPr>
        <w:tblStyle w:val="TableGrid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000"/>
        <w:gridCol w:w="1840"/>
        <w:gridCol w:w="1840"/>
        <w:gridCol w:w="1840"/>
        <w:gridCol w:w="1840"/>
      </w:tblGrid>
      <w:tr w14:paraId="769FB878" w14:textId="77777777">
        <w:trPr>
          <w:cantSplit/>
          <w:tblHeader/>
        </w:trPr>
        <w:tc>
          <w:tcPr>
            <w:tcW w:w="2000" w:type="dxa"/>
            <w:shd w:val="clear" w:color="auto" w:fill="C4785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0C69A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Metric subject</w:t>
            </w:r>
          </w:p>
        </w:tc>
        <w:tc>
          <w:tcPr>
            <w:tcW w:w="1840" w:type="dxa"/>
            <w:shd w:val="clear" w:color="auto" w:fill="C4785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FCD19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Value</w:t>
            </w:r>
          </w:p>
        </w:tc>
        <w:tc>
          <w:tcPr>
            <w:tcW w:w="1840" w:type="dxa"/>
            <w:shd w:val="clear" w:color="auto" w:fill="C4785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C190A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Unit</w:t>
            </w:r>
          </w:p>
        </w:tc>
        <w:tc>
          <w:tcPr>
            <w:tcW w:w="1840" w:type="dxa"/>
            <w:shd w:val="clear" w:color="auto" w:fill="C4785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89701F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Period</w:t>
            </w:r>
          </w:p>
        </w:tc>
        <w:tc>
          <w:tcPr>
            <w:tcW w:w="1840" w:type="dxa"/>
            <w:shd w:val="clear" w:color="auto" w:fill="C4785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F26C8" w14:textId="77777777">
            <w:pPr>
              <w:spacing w:after="0"/>
            </w:pPr>
            <w:r>
              <w:rPr>
                <w:b/>
                <w:color w:val="FFFFFF"/>
                <w:sz w:val="17"/>
              </w:rPr>
              <w:t>Source</w:t>
            </w:r>
          </w:p>
        </w:tc>
      </w:tr>
      <w:tr w14:paraId="70FDC4CF" w14:textId="77777777">
        <w:trPr>
          <w:cantSplit/>
        </w:trPr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74D06C" w14:textId="77777777">
            <w:pPr>
              <w:spacing w:after="0"/>
            </w:pPr>
            <w:r>
              <w:rPr>
                <w:sz w:val="17"/>
              </w:rPr>
              <w:t>Approved knowledge articles updated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CB0C0" w14:textId="77777777">
            <w:pPr>
              <w:spacing w:after="0"/>
            </w:pPr>
            <w:r>
              <w:rPr>
                <w:sz w:val="17"/>
              </w:rPr>
              <w:t>21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596B5" w14:textId="77777777">
            <w:pPr>
              <w:spacing w:after="0"/>
            </w:pPr>
            <w:r>
              <w:rPr>
                <w:sz w:val="17"/>
              </w:rPr>
              <w:t>articles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33793F" w14:textId="77777777">
            <w:pPr>
              <w:spacing w:after="0"/>
            </w:pPr>
            <w:r>
              <w:rPr>
                <w:sz w:val="17"/>
              </w:rPr>
              <w:t>July 2026</w:t>
            </w:r>
          </w:p>
        </w:tc>
        <w:tc>
          <w:tcPr>
            <w:tcW w:w="184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F110C" w14:textId="77777777">
            <w:pPr>
              <w:spacing w:after="0"/>
            </w:pPr>
            <w:r>
              <w:rPr>
                <w:sz w:val="17"/>
              </w:rPr>
              <w:t>Contributor answer and July Knowledge Content Log, entries KB-201 through KB-227</w:t>
            </w:r>
          </w:p>
        </w:tc>
      </w:tr>
      <w:tr w14:paraId="0B66A950" w14:textId="77777777">
        <w:trPr>
          <w:cantSplit/>
        </w:trPr>
        <w:tc>
          <w:tcPr>
            <w:tcW w:w="200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43607" w14:textId="77777777">
            <w:pPr>
              <w:spacing w:after="0"/>
            </w:pPr>
            <w:r>
              <w:rPr>
                <w:sz w:val="17"/>
              </w:rPr>
              <w:t>Obsolete knowledge articles retired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499C0F" w14:textId="77777777"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4CC68" w14:textId="77777777">
            <w:pPr>
              <w:spacing w:after="0"/>
            </w:pPr>
            <w:r>
              <w:rPr>
                <w:sz w:val="17"/>
              </w:rPr>
              <w:t>articles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28D45" w14:textId="77777777">
            <w:pPr>
              <w:spacing w:after="0"/>
            </w:pPr>
            <w:r>
              <w:rPr>
                <w:sz w:val="17"/>
              </w:rPr>
              <w:t>July 2026</w:t>
            </w:r>
          </w:p>
        </w:tc>
        <w:tc>
          <w:tcPr>
            <w:tcW w:w="1840" w:type="dxa"/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026197" w14:textId="77777777">
            <w:pPr>
              <w:spacing w:after="0"/>
            </w:pPr>
            <w:r>
              <w:rPr>
                <w:sz w:val="17"/>
              </w:rPr>
              <w:t>Contributor answer and July Knowledge Content Log, entries KB-201 through KB-227</w:t>
            </w:r>
          </w:p>
        </w:tc>
      </w:tr>
    </w:tbl>
    <w:p w14:paraId="7C7A122A" w14:textId="77777777">
      <w:pPr>
        <w:spacing w:after="0"/>
      </w:pPr>
    </w:p>
    <w:p w14:paraId="7217C69F" w14:textId="77777777">
      <w:pPr>
        <w:keepLines/>
      </w:pPr>
      <w:r>
        <w:t>The revised report ties the completed article review to the contributor, reporting period, service requirement, and named content log without claiming an unsupported customer outcome.</w:t>
      </w:r>
    </w:p>
    <w:sectPr>
      <w:headerReference w:type="default" r:id="rId8"/>
      <w:footerReference w:type="default" r:id="rId9"/>
      <w:pgSz w:w="12240" w:h="15840"/>
      <w:pgMar w:top="936" w:right="936" w:bottom="936" w:left="936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1620" w14:textId="77777777">
      <w:pPr>
        <w:spacing w:after="0" w:line="240" w:lineRule="auto"/>
      </w:pPr>
      <w:r>
        <w:separator/>
      </w:r>
    </w:p>
  </w:endnote>
  <w:endnote w:type="continuationSeparator" w:id="0">
    <w:p w14:paraId="2959024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Iowan Old Styl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0380" w14:textId="77777777">
    <w:pPr>
      <w:pStyle w:val="Footer"/>
    </w:pPr>
    <w:r>
      <w:rPr>
        <w:color w:val="666666"/>
        <w:sz w:val="16"/>
      </w:rPr>
      <w:t xml:space="preserve">FICTIONAL DEMONSTRATION SAMPLE    |    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  <w:r>
      <w:rPr>
        <w:color w:val="666666"/>
        <w:sz w:val="16"/>
      </w:rPr>
      <w:t xml:space="preserve"> of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NUMPAGES </w:instrText>
    </w:r>
    <w:r>
      <w:rPr>
        <w:color w:val="666666"/>
        <w:sz w:val="16"/>
      </w:rPr>
      <w:fldChar w:fldCharType="separate"/>
    </w:r>
    <w:r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E75E" w14:textId="77777777">
      <w:pPr>
        <w:spacing w:after="0" w:line="240" w:lineRule="auto"/>
      </w:pPr>
      <w:r>
        <w:separator/>
      </w:r>
    </w:p>
  </w:footnote>
  <w:footnote w:type="continuationSeparator" w:id="0">
    <w:p w14:paraId="1B4E43C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B54B" w14:textId="77777777">
    <w:pPr>
      <w:pStyle w:val="Header"/>
    </w:pPr>
    <w:r>
      <w:rPr>
        <w:b/>
        <w:color w:val="3D2B1F"/>
        <w:sz w:val="16"/>
      </w:rPr>
      <w:t>Gesso Federal | We take the paperwork out of federal work.</w:t>
    </w:r>
    <w:r>
      <w:rPr>
        <w:b/>
        <w:color w:val="9B1C1C"/>
        <w:sz w:val="16"/>
      </w:rPr>
      <w:t xml:space="preserve">    |    FICTIONAL DEMONSTRATION SAMPLE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6972711">
    <w:abstractNumId w:val="8"/>
  </w:num>
  <w:num w:numId="2" w16cid:durableId="590088044">
    <w:abstractNumId w:val="6"/>
  </w:num>
  <w:num w:numId="3" w16cid:durableId="210846496">
    <w:abstractNumId w:val="5"/>
  </w:num>
  <w:num w:numId="4" w16cid:durableId="394940564">
    <w:abstractNumId w:val="4"/>
  </w:num>
  <w:num w:numId="5" w16cid:durableId="1825585872">
    <w:abstractNumId w:val="7"/>
  </w:num>
  <w:num w:numId="6" w16cid:durableId="909970780">
    <w:abstractNumId w:val="3"/>
  </w:num>
  <w:num w:numId="7" w16cid:durableId="1431045195">
    <w:abstractNumId w:val="2"/>
  </w:num>
  <w:num w:numId="8" w16cid:durableId="467092374">
    <w:abstractNumId w:val="1"/>
  </w:num>
  <w:num w:numId="9" w16cid:durableId="22336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021241"/>
  <w14:defaultImageDpi w14:val="300"/>
  <w15:docId w15:val="{82A62A18-E5C4-4B39-8796-43DC7B4D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52" w:lineRule="auto"/>
    </w:pPr>
    <w:rPr>
      <w:rFonts w:ascii="Arial" w:hAnsi="Arial"/>
      <w:color w:val="22222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C4785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3D2B1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spacing w:after="40"/>
      <w:ind w:left="72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spacing w:after="40"/>
      <w:ind w:left="720"/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1633</Characters>
  <Application>Microsoft Office Word</Application>
  <DocSecurity>0</DocSecurity>
  <Lines>59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a vague update to a supported individual report</dc:title>
  <dc:subject>Fictitious Gesso Federal proof-library artifact</dc:subject>
  <dc:creator>Gesso Federal | We take the paperwork out of federal work.</dc:creator>
  <cp:keywords/>
  <dc:description>Synthetic demonstration file. No real client information.</dc:description>
  <cp:lastModifiedBy>Gesso Federal | We take the paperwork out of federal work.</cp:lastModifiedBy>
  <cp:revision>2</cp:revision>
  <dcterms:created xsi:type="dcterms:W3CDTF">2013-12-23T23:15:00Z</dcterms:created>
  <dcterms:modified xsi:type="dcterms:W3CDTF">2026-08-19T12:32:00Z</dcterms:modified>
  <cp:category/>
</cp:coreProperties>
</file>