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445A1" w14:textId="77777777">
      <w:pPr>
        <w:spacing w:after="100"/>
      </w:pPr>
      <w:r>
        <w:rPr>
          <w:b/>
          <w:color w:val="9B1C1C"/>
        </w:rPr>
        <w:t>FICTITIOUS DEMONSTRATION SAMPLE</w:t>
      </w:r>
    </w:p>
    <w:p w14:paraId="77AFE6D6" w14:textId="77777777">
      <w:pPr>
        <w:spacing w:after="200"/>
      </w:pPr>
      <w:r>
        <w:rPr>
          <w:b/>
          <w:color w:val="17384B"/>
          <w:sz w:val="44"/>
        </w:rPr>
        <w:t>Tab 3: Supply-chain traceability statement</w:t>
      </w:r>
    </w:p>
    <w:tbl>
      <w:tblPr>
        <w:tblW w:w="9360" w:type="dxa"/>
        <w:tblInd w:w="120" w:type="dxa"/>
        <w:tblLayout w:type="fixed"/>
        <w:tblLook w:val="04A0" w:firstRow="1" w:lastRow="0" w:firstColumn="1" w:lastColumn="0" w:noHBand="0" w:noVBand="1"/>
      </w:tblPr>
      <w:tblGrid>
        <w:gridCol w:w="9360"/>
      </w:tblGrid>
      <w:tr w14:paraId="17230527" w14:textId="77777777">
        <w:trPr>
          <w:cantSplit/>
        </w:trPr>
        <w:tc>
          <w:tcPr>
            <w:tcW w:w="9360" w:type="dxa"/>
            <w:shd w:val="clear" w:color="auto" w:fill="EAF1F4"/>
            <w:tcMar>
              <w:top w:w="80" w:type="dxa"/>
              <w:left w:w="120" w:type="dxa"/>
              <w:bottom w:w="80" w:type="dxa"/>
              <w:right w:w="120" w:type="dxa"/>
            </w:tcMar>
            <w:vAlign w:val="center"/>
          </w:tcPr>
          <w:p w14:paraId="3237862C" w14:textId="77777777">
            <w:pPr>
              <w:spacing w:after="0"/>
            </w:pPr>
            <w:r>
              <w:rPr>
                <w:b/>
                <w:color w:val="17384B"/>
                <w:sz w:val="19"/>
              </w:rPr>
              <w:t>FICTIONAL DEMONSTRATION SAMPLE.</w:t>
            </w:r>
            <w:r>
              <w:rPr>
                <w:color w:val="17384B"/>
                <w:sz w:val="19"/>
              </w:rPr>
              <w:t xml:space="preserve"> Every entity, document number, CAGE, lot, heat, and date is invented.</w:t>
            </w:r>
          </w:p>
        </w:tc>
      </w:tr>
    </w:tbl>
    <w:p w14:paraId="3589615D" w14:textId="77777777">
      <w:pPr>
        <w:pStyle w:val="Heading1"/>
      </w:pPr>
      <w:r>
        <w:t>Offered item</w:t>
      </w:r>
    </w:p>
    <w:p w14:paraId="72690F77" w14:textId="77777777">
      <w:pPr>
        <w:keepLines/>
      </w:pPr>
      <w:r>
        <w:t>Solicitation SPE7L0-26-R-DEM4; NSN 4820-01-DEM-0755; Calder Fluid Systems Corp, CAGE 0DEM7; part CFS-2205-7; drawing CFS-2205 revision C; lot CFS-L2606-118; quantity 150 EA.</w:t>
      </w:r>
    </w:p>
    <w:p w14:paraId="43832A89" w14:textId="77777777">
      <w:pPr>
        <w:keepLines/>
      </w:pPr>
      <w:r>
        <w:t>Meridian Precision Components, Inc., CAGE 8DEM2, offers the exact approved product as an authorized dealer. Calder Fluid Systems Corp is the actual manufacturing source. Ardent Flow Distribution LLC is the distribution intermediary and is not identified as the manufacturer on the quote form.</w:t>
      </w:r>
    </w:p>
    <w:p w14:paraId="1A03AF9A" w14:textId="77777777">
      <w:pPr>
        <w:pStyle w:val="Heading1"/>
      </w:pPr>
      <w:r>
        <w:t>Documented chain</w:t>
      </w:r>
    </w:p>
    <w:tbl>
      <w:tblPr>
        <w:tblStyle w:val="TableGrid"/>
        <w:tblW w:w="9360" w:type="dxa"/>
        <w:tblInd w:w="120" w:type="dxa"/>
        <w:tblLayout w:type="fixed"/>
        <w:tblLook w:val="04A0" w:firstRow="1" w:lastRow="0" w:firstColumn="1" w:lastColumn="0" w:noHBand="0" w:noVBand="1"/>
      </w:tblPr>
      <w:tblGrid>
        <w:gridCol w:w="2700"/>
        <w:gridCol w:w="6660"/>
      </w:tblGrid>
      <w:tr w14:paraId="69576E16" w14:textId="77777777">
        <w:trPr>
          <w:cantSplit/>
          <w:tblHeader/>
        </w:trPr>
        <w:tc>
          <w:tcPr>
            <w:tcW w:w="2700" w:type="dxa"/>
            <w:shd w:val="clear" w:color="auto" w:fill="2E5B75"/>
            <w:tcMar>
              <w:top w:w="80" w:type="dxa"/>
              <w:left w:w="120" w:type="dxa"/>
              <w:bottom w:w="80" w:type="dxa"/>
              <w:right w:w="120" w:type="dxa"/>
            </w:tcMar>
            <w:vAlign w:val="center"/>
          </w:tcPr>
          <w:p w14:paraId="1A7454A7" w14:textId="77777777">
            <w:pPr>
              <w:spacing w:after="0"/>
            </w:pPr>
            <w:r>
              <w:rPr>
                <w:b/>
                <w:color w:val="FFFFFF"/>
                <w:sz w:val="17"/>
              </w:rPr>
              <w:t>Link</w:t>
            </w:r>
          </w:p>
        </w:tc>
        <w:tc>
          <w:tcPr>
            <w:tcW w:w="6660" w:type="dxa"/>
            <w:shd w:val="clear" w:color="auto" w:fill="2E5B75"/>
            <w:tcMar>
              <w:top w:w="80" w:type="dxa"/>
              <w:left w:w="120" w:type="dxa"/>
              <w:bottom w:w="80" w:type="dxa"/>
              <w:right w:w="120" w:type="dxa"/>
            </w:tcMar>
            <w:vAlign w:val="center"/>
          </w:tcPr>
          <w:p w14:paraId="7BE05CDC" w14:textId="77777777">
            <w:pPr>
              <w:spacing w:after="0"/>
            </w:pPr>
            <w:r>
              <w:rPr>
                <w:b/>
                <w:color w:val="FFFFFF"/>
                <w:sz w:val="17"/>
              </w:rPr>
              <w:t>Document connection</w:t>
            </w:r>
          </w:p>
        </w:tc>
      </w:tr>
      <w:tr w14:paraId="6820DB31" w14:textId="77777777">
        <w:trPr>
          <w:cantSplit/>
        </w:trPr>
        <w:tc>
          <w:tcPr>
            <w:tcW w:w="2700" w:type="dxa"/>
            <w:tcMar>
              <w:top w:w="80" w:type="dxa"/>
              <w:left w:w="120" w:type="dxa"/>
              <w:bottom w:w="80" w:type="dxa"/>
              <w:right w:w="120" w:type="dxa"/>
            </w:tcMar>
            <w:vAlign w:val="center"/>
          </w:tcPr>
          <w:p w14:paraId="5A274018" w14:textId="77777777">
            <w:pPr>
              <w:spacing w:after="0"/>
            </w:pPr>
            <w:r>
              <w:rPr>
                <w:sz w:val="17"/>
              </w:rPr>
              <w:t>Raw material: Tri-State Alloy Mill, CAGE 7DEM9, Portsmouth, Ohio</w:t>
            </w:r>
          </w:p>
        </w:tc>
        <w:tc>
          <w:tcPr>
            <w:tcW w:w="6660" w:type="dxa"/>
            <w:tcMar>
              <w:top w:w="80" w:type="dxa"/>
              <w:left w:w="120" w:type="dxa"/>
              <w:bottom w:w="80" w:type="dxa"/>
              <w:right w:w="120" w:type="dxa"/>
            </w:tcMar>
            <w:vAlign w:val="center"/>
          </w:tcPr>
          <w:p w14:paraId="2ED2CD75" w14:textId="77777777">
            <w:pPr>
              <w:spacing w:after="0"/>
            </w:pPr>
            <w:r>
              <w:rPr>
                <w:sz w:val="17"/>
              </w:rPr>
              <w:t>CMTR TSA-6L-4471 records heat 6L-4471 and 17-4 PH stainless steel per AMS 5643</w:t>
            </w:r>
          </w:p>
        </w:tc>
      </w:tr>
      <w:tr w14:paraId="6D1DA3E9" w14:textId="77777777">
        <w:trPr>
          <w:cantSplit/>
        </w:trPr>
        <w:tc>
          <w:tcPr>
            <w:tcW w:w="2700" w:type="dxa"/>
            <w:shd w:val="clear" w:color="auto" w:fill="F7F7F7"/>
            <w:tcMar>
              <w:top w:w="80" w:type="dxa"/>
              <w:left w:w="120" w:type="dxa"/>
              <w:bottom w:w="80" w:type="dxa"/>
              <w:right w:w="120" w:type="dxa"/>
            </w:tcMar>
            <w:vAlign w:val="center"/>
          </w:tcPr>
          <w:p w14:paraId="4F85D0E6" w14:textId="77777777">
            <w:pPr>
              <w:spacing w:after="0"/>
            </w:pPr>
            <w:r>
              <w:rPr>
                <w:sz w:val="17"/>
              </w:rPr>
              <w:t>Approved manufacturer: Calder Fluid Systems Corp, CAGE 0DEM7, Marion, Ohio</w:t>
            </w:r>
          </w:p>
        </w:tc>
        <w:tc>
          <w:tcPr>
            <w:tcW w:w="6660" w:type="dxa"/>
            <w:shd w:val="clear" w:color="auto" w:fill="F7F7F7"/>
            <w:tcMar>
              <w:top w:w="80" w:type="dxa"/>
              <w:left w:w="120" w:type="dxa"/>
              <w:bottom w:w="80" w:type="dxa"/>
              <w:right w:w="120" w:type="dxa"/>
            </w:tcMar>
            <w:vAlign w:val="center"/>
          </w:tcPr>
          <w:p w14:paraId="5BABE92F" w14:textId="77777777">
            <w:pPr>
              <w:spacing w:after="0"/>
            </w:pPr>
            <w:r>
              <w:rPr>
                <w:sz w:val="17"/>
              </w:rPr>
              <w:t>Calder CoC CFS-COC-2606-118 connects the heat to part CFS-2205-7, revision C, lot CFS-L2606-118</w:t>
            </w:r>
          </w:p>
        </w:tc>
      </w:tr>
      <w:tr w14:paraId="27D15367" w14:textId="77777777">
        <w:trPr>
          <w:cantSplit/>
        </w:trPr>
        <w:tc>
          <w:tcPr>
            <w:tcW w:w="2700" w:type="dxa"/>
            <w:tcMar>
              <w:top w:w="80" w:type="dxa"/>
              <w:left w:w="120" w:type="dxa"/>
              <w:bottom w:w="80" w:type="dxa"/>
              <w:right w:w="120" w:type="dxa"/>
            </w:tcMar>
            <w:vAlign w:val="center"/>
          </w:tcPr>
          <w:p w14:paraId="25261ACE" w14:textId="77777777">
            <w:pPr>
              <w:spacing w:after="0"/>
            </w:pPr>
            <w:r>
              <w:rPr>
                <w:sz w:val="17"/>
              </w:rPr>
              <w:t>Master distributor: Ardent Flow Distribution LLC, CAGE 5DEM4, Cincinnati, Ohio</w:t>
            </w:r>
          </w:p>
        </w:tc>
        <w:tc>
          <w:tcPr>
            <w:tcW w:w="6660" w:type="dxa"/>
            <w:tcMar>
              <w:top w:w="80" w:type="dxa"/>
              <w:left w:w="120" w:type="dxa"/>
              <w:bottom w:w="80" w:type="dxa"/>
              <w:right w:w="120" w:type="dxa"/>
            </w:tcMar>
            <w:vAlign w:val="center"/>
          </w:tcPr>
          <w:p w14:paraId="41DF1FBC" w14:textId="77777777">
            <w:pPr>
              <w:spacing w:after="0"/>
            </w:pPr>
            <w:r>
              <w:rPr>
                <w:sz w:val="17"/>
              </w:rPr>
              <w:t>Invoice AFD-24817 and packing slip AFD-PS-24817 carry the same part and lot to Meridian</w:t>
            </w:r>
          </w:p>
        </w:tc>
      </w:tr>
      <w:tr w14:paraId="4E16ED10" w14:textId="77777777">
        <w:trPr>
          <w:cantSplit/>
        </w:trPr>
        <w:tc>
          <w:tcPr>
            <w:tcW w:w="2700" w:type="dxa"/>
            <w:shd w:val="clear" w:color="auto" w:fill="F7F7F7"/>
            <w:tcMar>
              <w:top w:w="80" w:type="dxa"/>
              <w:left w:w="120" w:type="dxa"/>
              <w:bottom w:w="80" w:type="dxa"/>
              <w:right w:w="120" w:type="dxa"/>
            </w:tcMar>
            <w:vAlign w:val="center"/>
          </w:tcPr>
          <w:p w14:paraId="247963AC" w14:textId="77777777">
            <w:pPr>
              <w:spacing w:after="0"/>
            </w:pPr>
            <w:r>
              <w:rPr>
                <w:sz w:val="17"/>
              </w:rPr>
              <w:t>Offeror: Meridian Precision Components, Inc., CAGE 8DEM2, Fort Wayne, Indiana</w:t>
            </w:r>
          </w:p>
        </w:tc>
        <w:tc>
          <w:tcPr>
            <w:tcW w:w="6660" w:type="dxa"/>
            <w:shd w:val="clear" w:color="auto" w:fill="F7F7F7"/>
            <w:tcMar>
              <w:top w:w="80" w:type="dxa"/>
              <w:left w:w="120" w:type="dxa"/>
              <w:bottom w:w="80" w:type="dxa"/>
              <w:right w:w="120" w:type="dxa"/>
            </w:tcMar>
            <w:vAlign w:val="center"/>
          </w:tcPr>
          <w:p w14:paraId="5FF17B60" w14:textId="77777777">
            <w:pPr>
              <w:spacing w:after="0"/>
            </w:pPr>
            <w:r>
              <w:rPr>
                <w:sz w:val="17"/>
              </w:rPr>
              <w:t>Receiver GRN-8DEM2-3390 and inspection IR-8DEM2-3390 confirm part, revision, lot, and quantity</w:t>
            </w:r>
          </w:p>
        </w:tc>
      </w:tr>
      <w:tr w14:paraId="5BF971D3" w14:textId="77777777">
        <w:trPr>
          <w:cantSplit/>
        </w:trPr>
        <w:tc>
          <w:tcPr>
            <w:tcW w:w="2700" w:type="dxa"/>
            <w:tcMar>
              <w:top w:w="80" w:type="dxa"/>
              <w:left w:w="120" w:type="dxa"/>
              <w:bottom w:w="80" w:type="dxa"/>
              <w:right w:w="120" w:type="dxa"/>
            </w:tcMar>
            <w:vAlign w:val="center"/>
          </w:tcPr>
          <w:p w14:paraId="60915AD3" w14:textId="77777777">
            <w:pPr>
              <w:spacing w:after="0"/>
            </w:pPr>
            <w:r>
              <w:rPr>
                <w:sz w:val="17"/>
              </w:rPr>
              <w:t>Shipment to DLA: Meridian Precision Components, Inc., CAGE 8DEM2</w:t>
            </w:r>
          </w:p>
        </w:tc>
        <w:tc>
          <w:tcPr>
            <w:tcW w:w="6660" w:type="dxa"/>
            <w:tcMar>
              <w:top w:w="80" w:type="dxa"/>
              <w:left w:w="120" w:type="dxa"/>
              <w:bottom w:w="80" w:type="dxa"/>
              <w:right w:w="120" w:type="dxa"/>
            </w:tcMar>
            <w:vAlign w:val="center"/>
          </w:tcPr>
          <w:p w14:paraId="43562C97" w14:textId="77777777">
            <w:pPr>
              <w:spacing w:after="0"/>
            </w:pPr>
            <w:r>
              <w:rPr>
                <w:sz w:val="17"/>
              </w:rPr>
              <w:t>Post-award CoC and MIL-STD-129R labels carry the award number, part, and lot</w:t>
            </w:r>
          </w:p>
        </w:tc>
      </w:tr>
    </w:tbl>
    <w:p w14:paraId="0B9084BF" w14:textId="77777777">
      <w:pPr>
        <w:spacing w:after="0"/>
      </w:pPr>
    </w:p>
    <w:p w14:paraId="424145BD" w14:textId="77777777">
      <w:pPr>
        <w:pStyle w:val="Heading1"/>
      </w:pPr>
      <w:r>
        <w:t>Quantity and identifier checks</w:t>
      </w:r>
    </w:p>
    <w:p w14:paraId="5D1D3FE5" w14:textId="77777777">
      <w:pPr>
        <w:pStyle w:val="ListBullet"/>
        <w:keepLines/>
      </w:pPr>
      <w:r>
        <w:t>Lot CFS-L2606-118 contains 260 accepted units. The offered quantity of 150 EA is covered by one lot, so no lot split is needed.</w:t>
      </w:r>
    </w:p>
    <w:p w14:paraId="46292509" w14:textId="77777777">
      <w:pPr>
        <w:pStyle w:val="ListBullet"/>
        <w:keepLines/>
      </w:pPr>
      <w:r>
        <w:t>Heat 6L-4471 appears on both the mill report and Calder's manufacturer CoC.</w:t>
      </w:r>
    </w:p>
    <w:p w14:paraId="337E92E0" w14:textId="77777777">
      <w:pPr>
        <w:pStyle w:val="ListBullet"/>
        <w:keepLines/>
      </w:pPr>
      <w:r>
        <w:t>Part CFS-2205-7, drawing revision C, and lot CFS-L2606-118 match across the manufacturer, distributor, receiving, inspection, packaging, and offer records.</w:t>
      </w:r>
    </w:p>
    <w:p w14:paraId="19D57597" w14:textId="77777777">
      <w:pPr>
        <w:pStyle w:val="ListBullet"/>
        <w:keepLines/>
      </w:pPr>
      <w:r>
        <w:t>Meridian retains the named records in its fictitious traceability file and can produce them with the supporting tab.</w:t>
      </w:r>
    </w:p>
    <w:p w14:paraId="2D0CF002" w14:textId="77777777">
      <w:pPr>
        <w:keepLines/>
      </w:pPr>
      <w:r>
        <w:t>Prepared by: Rana Ellis, Operations Manager Date: 2026-07-10 Signature: /s/ Rana Ellis (FICTIONAL SAMPLE)</w:t>
      </w:r>
    </w:p>
    <w:sectPr>
      <w:headerReference w:type="default" r:id="rId8"/>
      <w:footerReference w:type="default" r:id="rId9"/>
      <w:pgSz w:w="12240" w:h="15840"/>
      <w:pgMar w:top="936" w:right="936" w:bottom="936" w:left="936" w:header="504"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3A73" w14:textId="77777777">
      <w:pPr>
        <w:spacing w:after="0" w:line="240" w:lineRule="auto"/>
      </w:pPr>
      <w:r>
        <w:separator/>
      </w:r>
    </w:p>
  </w:endnote>
  <w:endnote w:type="continuationSeparator" w:id="0">
    <w:p w14:paraId="04B4EA3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5B17" w14:textId="77777777">
    <w:pPr>
      <w:pStyle w:val="Footer"/>
    </w:pPr>
    <w:r>
      <w:rPr>
        <w:color w:val="666666"/>
        <w:sz w:val="16"/>
      </w:rPr>
      <w:t xml:space="preserve">FICTIONAL DEMONSTRATION SAMPLE    |    Page </w:t>
    </w:r>
    <w:r>
      <w:rPr>
        <w:color w:val="666666"/>
        <w:sz w:val="16"/>
      </w:rPr>
      <w:fldChar w:fldCharType="begin"/>
    </w:r>
    <w:r>
      <w:rPr>
        <w:color w:val="666666"/>
        <w:sz w:val="16"/>
      </w:rPr>
      <w:instrText xml:space="preserve"> PAGE </w:instrText>
    </w:r>
    <w:r>
      <w:rPr>
        <w:color w:val="666666"/>
        <w:sz w:val="16"/>
      </w:rPr>
      <w:fldChar w:fldCharType="separate"/>
    </w:r>
    <w:r>
      <w:rPr>
        <w:noProof/>
        <w:color w:val="666666"/>
        <w:sz w:val="16"/>
      </w:rPr>
      <w:t>1</w:t>
    </w:r>
    <w:r>
      <w:rPr>
        <w:color w:val="666666"/>
        <w:sz w:val="16"/>
      </w:rPr>
      <w:fldChar w:fldCharType="end"/>
    </w:r>
    <w:r>
      <w:rPr>
        <w:color w:val="666666"/>
        <w:sz w:val="16"/>
      </w:rPr>
      <w:t xml:space="preserve"> of </w:t>
    </w:r>
    <w:r>
      <w:rPr>
        <w:color w:val="666666"/>
        <w:sz w:val="16"/>
      </w:rPr>
      <w:fldChar w:fldCharType="begin"/>
    </w:r>
    <w:r>
      <w:rPr>
        <w:color w:val="666666"/>
        <w:sz w:val="16"/>
      </w:rPr>
      <w:instrText xml:space="preserve"> NUMPAGES </w:instrText>
    </w:r>
    <w:r>
      <w:rPr>
        <w:color w:val="666666"/>
        <w:sz w:val="16"/>
      </w:rPr>
      <w:fldChar w:fldCharType="separate"/>
    </w:r>
    <w:r>
      <w:rPr>
        <w:noProof/>
        <w:color w:val="666666"/>
        <w:sz w:val="16"/>
      </w:rPr>
      <w:t>1</w:t>
    </w:r>
    <w:r>
      <w:rPr>
        <w:color w:val="66666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15BEF" w14:textId="77777777">
      <w:pPr>
        <w:spacing w:after="0" w:line="240" w:lineRule="auto"/>
      </w:pPr>
      <w:r>
        <w:separator/>
      </w:r>
    </w:p>
  </w:footnote>
  <w:footnote w:type="continuationSeparator" w:id="0">
    <w:p w14:paraId="04621FF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64008" w14:textId="77777777">
    <w:pPr>
      <w:pStyle w:val="Header"/>
    </w:pPr>
    <w:r>
      <w:rPr>
        <w:b/>
        <w:color w:val="17384B"/>
        <w:sz w:val="16"/>
      </w:rPr>
      <w:t>Meridian Precision Components, Inc.</w:t>
    </w:r>
    <w:r>
      <w:rPr>
        <w:b/>
        <w:color w:val="9B1C1C"/>
        <w:sz w:val="16"/>
      </w:rPr>
      <w:t xml:space="preserve">    |    FICTIONAL DEMONSTRATION SAMPLE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92386555">
    <w:abstractNumId w:val="8"/>
  </w:num>
  <w:num w:numId="2" w16cid:durableId="1272855034">
    <w:abstractNumId w:val="6"/>
  </w:num>
  <w:num w:numId="3" w16cid:durableId="225991997">
    <w:abstractNumId w:val="5"/>
  </w:num>
  <w:num w:numId="4" w16cid:durableId="1479302392">
    <w:abstractNumId w:val="4"/>
  </w:num>
  <w:num w:numId="5" w16cid:durableId="898638629">
    <w:abstractNumId w:val="7"/>
  </w:num>
  <w:num w:numId="6" w16cid:durableId="568030538">
    <w:abstractNumId w:val="3"/>
  </w:num>
  <w:num w:numId="7" w16cid:durableId="1043210934">
    <w:abstractNumId w:val="2"/>
  </w:num>
  <w:num w:numId="8" w16cid:durableId="625082911">
    <w:abstractNumId w:val="1"/>
  </w:num>
  <w:num w:numId="9" w16cid:durableId="1892575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F214C3"/>
  <w14:defaultImageDpi w14:val="300"/>
  <w15:docId w15:val="{BA89A411-A4F7-4D54-83AB-48A9E88F1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80" w:line="252" w:lineRule="auto"/>
    </w:pPr>
    <w:rPr>
      <w:rFonts w:ascii="Arial" w:hAnsi="Arial"/>
      <w:color w:val="222222"/>
      <w:sz w:val="20"/>
    </w:rPr>
  </w:style>
  <w:style w:type="paragraph" w:styleId="Heading1">
    <w:name w:val="heading 1"/>
    <w:basedOn w:val="Normal"/>
    <w:next w:val="Normal"/>
    <w:link w:val="Heading1Char"/>
    <w:uiPriority w:val="9"/>
    <w:qFormat/>
    <w:pPr>
      <w:keepNext/>
      <w:keepLines/>
      <w:spacing w:before="200" w:after="100"/>
      <w:outlineLvl w:val="0"/>
    </w:pPr>
    <w:rPr>
      <w:rFonts w:asciiTheme="majorHAnsi" w:eastAsiaTheme="majorEastAsia" w:hAnsiTheme="majorHAnsi" w:cstheme="majorBidi"/>
      <w:b/>
      <w:bCs/>
      <w:color w:val="2E5B75"/>
      <w:sz w:val="28"/>
      <w:szCs w:val="28"/>
    </w:rPr>
  </w:style>
  <w:style w:type="paragraph" w:styleId="Heading2">
    <w:name w:val="heading 2"/>
    <w:basedOn w:val="Normal"/>
    <w:next w:val="Normal"/>
    <w:link w:val="Heading2Char"/>
    <w:uiPriority w:val="9"/>
    <w:unhideWhenUsed/>
    <w:qFormat/>
    <w:pPr>
      <w:keepNext/>
      <w:keepLines/>
      <w:spacing w:before="160"/>
      <w:outlineLvl w:val="1"/>
    </w:pPr>
    <w:rPr>
      <w:rFonts w:asciiTheme="majorHAnsi" w:eastAsiaTheme="majorEastAsia" w:hAnsiTheme="majorHAnsi" w:cstheme="majorBidi"/>
      <w:b/>
      <w:bCs/>
      <w:color w:val="17384B"/>
      <w:sz w:val="22"/>
      <w:szCs w:val="26"/>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pPr>
      <w:ind w:left="720"/>
      <w:contextualSpacing/>
    </w:p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basedOn w:val="DefaultParagraphFont"/>
    <w:link w:val="BodyText2"/>
    <w:uiPriority w:val="99"/>
  </w:style>
  <w:style w:type="paragraph" w:styleId="BodyText3">
    <w:name w:val="Body Text 3"/>
    <w:basedOn w:val="Normal"/>
    <w:link w:val="BodyText3Char"/>
    <w:uiPriority w:val="99"/>
    <w:unhideWhenUsed/>
    <w:pPr>
      <w:spacing w:after="120"/>
    </w:pPr>
    <w:rPr>
      <w:sz w:val="16"/>
      <w:szCs w:val="16"/>
    </w:rPr>
  </w:style>
  <w:style w:type="character" w:customStyle="1" w:styleId="BodyText3Char">
    <w:name w:val="Body Text 3 Char"/>
    <w:basedOn w:val="DefaultParagraphFont"/>
    <w:link w:val="BodyText3"/>
    <w:uiPriority w:val="99"/>
    <w:rPr>
      <w:sz w:val="16"/>
      <w:szCs w:val="16"/>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List3">
    <w:name w:val="List 3"/>
    <w:basedOn w:val="Normal"/>
    <w:uiPriority w:val="99"/>
    <w:unhideWhenUsed/>
    <w:pPr>
      <w:ind w:left="1080" w:hanging="360"/>
      <w:contextualSpacing/>
    </w:pPr>
  </w:style>
  <w:style w:type="paragraph" w:styleId="ListBullet">
    <w:name w:val="List Bullet"/>
    <w:basedOn w:val="Normal"/>
    <w:uiPriority w:val="99"/>
    <w:unhideWhenUsed/>
    <w:pPr>
      <w:numPr>
        <w:numId w:val="1"/>
      </w:numPr>
      <w:spacing w:after="40"/>
      <w:ind w:left="720"/>
      <w:contextualSpacing/>
    </w:pPr>
  </w:style>
  <w:style w:type="paragraph" w:styleId="ListBullet2">
    <w:name w:val="List Bullet 2"/>
    <w:basedOn w:val="Normal"/>
    <w:uiPriority w:val="99"/>
    <w:unhideWhenUsed/>
    <w:pPr>
      <w:numPr>
        <w:numId w:val="2"/>
      </w:numPr>
      <w:contextualSpacing/>
    </w:pPr>
  </w:style>
  <w:style w:type="paragraph" w:styleId="ListBullet3">
    <w:name w:val="List Bullet 3"/>
    <w:basedOn w:val="Normal"/>
    <w:uiPriority w:val="99"/>
    <w:unhideWhenUsed/>
    <w:pPr>
      <w:numPr>
        <w:numId w:val="3"/>
      </w:numPr>
      <w:contextualSpacing/>
    </w:pPr>
  </w:style>
  <w:style w:type="paragraph" w:styleId="ListNumber">
    <w:name w:val="List Number"/>
    <w:basedOn w:val="Normal"/>
    <w:uiPriority w:val="99"/>
    <w:unhideWhenUsed/>
    <w:pPr>
      <w:numPr>
        <w:numId w:val="5"/>
      </w:numPr>
      <w:spacing w:after="40"/>
      <w:ind w:left="720"/>
      <w:contextualSpacing/>
    </w:pPr>
  </w:style>
  <w:style w:type="paragraph" w:styleId="ListNumber2">
    <w:name w:val="List Number 2"/>
    <w:basedOn w:val="Normal"/>
    <w:uiPriority w:val="99"/>
    <w:unhideWhenUsed/>
    <w:pPr>
      <w:numPr>
        <w:numId w:val="6"/>
      </w:numPr>
      <w:contextualSpacing/>
    </w:pPr>
  </w:style>
  <w:style w:type="paragraph" w:styleId="ListNumber3">
    <w:name w:val="List Number 3"/>
    <w:basedOn w:val="Normal"/>
    <w:uiPriority w:val="99"/>
    <w:unhideWhenUsed/>
    <w:pPr>
      <w:numPr>
        <w:numId w:val="7"/>
      </w:numPr>
      <w:contextualSpacing/>
    </w:pPr>
  </w:style>
  <w:style w:type="paragraph" w:styleId="ListContinue">
    <w:name w:val="List Continue"/>
    <w:basedOn w:val="Normal"/>
    <w:uiPriority w:val="99"/>
    <w:unhideWhenUsed/>
    <w:pPr>
      <w:spacing w:after="120"/>
      <w:ind w:left="360"/>
      <w:contextualSpacing/>
    </w:pPr>
  </w:style>
  <w:style w:type="paragraph" w:styleId="ListContinue2">
    <w:name w:val="List Continue 2"/>
    <w:basedOn w:val="Normal"/>
    <w:uiPriority w:val="99"/>
    <w:unhideWhenUsed/>
    <w:pPr>
      <w:spacing w:after="120"/>
      <w:ind w:left="720"/>
      <w:contextualSpacing/>
    </w:pPr>
  </w:style>
  <w:style w:type="paragraph" w:styleId="ListContinue3">
    <w:name w:val="List Continue 3"/>
    <w:basedOn w:val="Normal"/>
    <w:uiPriority w:val="99"/>
    <w:unhideWhenUsed/>
    <w:pPr>
      <w:spacing w:after="120"/>
      <w:ind w:left="1080"/>
      <w:contextualSpacing/>
    </w:p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Pr>
      <w:rFonts w:ascii="Courier" w:hAnsi="Courier"/>
      <w:sz w:val="20"/>
      <w:szCs w:val="20"/>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pPr>
      <w:spacing w:line="240" w:lineRule="auto"/>
    </w:pPr>
    <w:rPr>
      <w:b/>
      <w:bCs/>
      <w:color w:val="4F81BD" w:themeColor="accent1"/>
      <w:sz w:val="18"/>
      <w:szCs w:val="18"/>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Emphasis">
    <w:name w:val="Subtle Emphasis"/>
    <w:basedOn w:val="DefaultParagraphFont"/>
    <w:uiPriority w:val="19"/>
    <w:qFormat/>
    <w:rPr>
      <w:i/>
      <w:iCs/>
      <w:color w:val="808080" w:themeColor="text1" w:themeTint="7F"/>
    </w:rPr>
  </w:style>
  <w:style w:type="character" w:styleId="IntenseEmphasis">
    <w:name w:val="Intense Emphasis"/>
    <w:basedOn w:val="DefaultParagraphFont"/>
    <w:uiPriority w:val="21"/>
    <w:qFormat/>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paragraph" w:styleId="TOCHeading">
    <w:name w:val="TOC Heading"/>
    <w:basedOn w:val="Heading1"/>
    <w:next w:val="Normal"/>
    <w:uiPriority w:val="39"/>
    <w:semiHidden/>
    <w:unhideWhenUsed/>
    <w:qFormat/>
    <w:pPr>
      <w:outlineLvl w:val="9"/>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1820</Characters>
  <Application>Microsoft Office Word</Application>
  <DocSecurity>0</DocSecurity>
  <Lines>47</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3: Supply-chain traceability statement</dc:title>
  <dc:subject>Fictitious public demonstration sample</dc:subject>
  <dc:creator/>
  <cp:keywords/>
  <dc:description>Synthetic demonstration file. No real client information.</dc:description>
  <cp:lastModifiedBy/>
  <cp:revision>2</cp:revision>
  <dcterms:created xsi:type="dcterms:W3CDTF">2013-12-23T23:15:00Z</dcterms:created>
  <dcterms:modified xsi:type="dcterms:W3CDTF">2026-08-19T12:36:00Z</dcterms:modified>
  <cp:category/>
</cp:coreProperties>
</file>