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8F446" w14:textId="77777777">
      <w:pPr>
        <w:spacing w:after="100"/>
      </w:pPr>
      <w:r>
        <w:rPr>
          <w:b/>
          <w:color w:val="9B1C1C"/>
        </w:rPr>
        <w:t>FICTITIOUS DEMONSTRATION SAMPLE</w:t>
      </w:r>
    </w:p>
    <w:p w14:paraId="1C800E87" w14:textId="77777777">
      <w:pPr>
        <w:spacing w:after="280"/>
      </w:pPr>
      <w:r>
        <w:rPr>
          <w:b/>
          <w:color w:val="1F2937"/>
          <w:sz w:val="54"/>
        </w:rPr>
        <w:t>RFQ SPE7L0-26-R-DEM4 (FICTITIOUS SOLICITATION)</w:t>
      </w:r>
    </w:p>
    <w:tbl>
      <w:tblPr>
        <w:tblW w:w="9360" w:type="dxa"/>
        <w:tblInd w:w="120" w:type="dxa"/>
        <w:tblLayout w:type="fixed"/>
        <w:tblLook w:val="04A0" w:firstRow="1" w:lastRow="0" w:firstColumn="1" w:lastColumn="0" w:noHBand="0" w:noVBand="1"/>
      </w:tblPr>
      <w:tblGrid>
        <w:gridCol w:w="9360"/>
      </w:tblGrid>
      <w:tr w14:paraId="38FE14F3" w14:textId="77777777">
        <w:trPr>
          <w:cantSplit/>
        </w:trPr>
        <w:tc>
          <w:tcPr>
            <w:tcW w:w="9360" w:type="dxa"/>
            <w:shd w:val="clear" w:color="auto" w:fill="F1F3F5"/>
            <w:tcMar>
              <w:top w:w="80" w:type="dxa"/>
              <w:left w:w="120" w:type="dxa"/>
              <w:bottom w:w="80" w:type="dxa"/>
              <w:right w:w="120" w:type="dxa"/>
            </w:tcMar>
            <w:vAlign w:val="center"/>
          </w:tcPr>
          <w:p w14:paraId="77BA1680" w14:textId="77777777">
            <w:pPr>
              <w:spacing w:after="0"/>
            </w:pPr>
            <w:r>
              <w:rPr>
                <w:b/>
                <w:color w:val="1F2937"/>
                <w:sz w:val="21"/>
              </w:rPr>
              <w:t>FICTIONAL DEMONSTRATION SAMPLE.</w:t>
            </w:r>
            <w:r>
              <w:rPr>
                <w:color w:val="1F2937"/>
                <w:sz w:val="21"/>
              </w:rPr>
              <w:t xml:space="preserve"> DLA did not issue this solicitation. Every identifier, company, item, quantity, instruction, and date below is invented.</w:t>
            </w:r>
          </w:p>
        </w:tc>
      </w:tr>
    </w:tbl>
    <w:p w14:paraId="06769036" w14:textId="77777777">
      <w:pPr>
        <w:pStyle w:val="Heading1"/>
      </w:pPr>
      <w:r>
        <w:t>Header</w:t>
      </w:r>
    </w:p>
    <w:p w14:paraId="0D872A9B" w14:textId="77777777">
      <w:pPr>
        <w:pStyle w:val="ListBullet"/>
        <w:keepLines/>
      </w:pPr>
      <w:r>
        <w:t>Solicitation: SPE7L0-26-R-DEM4</w:t>
      </w:r>
    </w:p>
    <w:p w14:paraId="157A3EA0" w14:textId="77777777">
      <w:pPr>
        <w:pStyle w:val="ListBullet"/>
        <w:keepLines/>
      </w:pPr>
      <w:r>
        <w:t>Buying activity: DLA Land and Maritime (fictitious sample)</w:t>
      </w:r>
    </w:p>
    <w:p w14:paraId="0DC12A17" w14:textId="77777777">
      <w:pPr>
        <w:pStyle w:val="ListBullet"/>
        <w:keepLines/>
      </w:pPr>
      <w:r>
        <w:t>Issue date: 2026-07-01</w:t>
      </w:r>
    </w:p>
    <w:p w14:paraId="46785D0B" w14:textId="77777777">
      <w:pPr>
        <w:pStyle w:val="ListBullet"/>
        <w:keepLines/>
      </w:pPr>
      <w:r>
        <w:t>Original return deadline: 2026-07-24 at 3:00 p.m. Eastern</w:t>
      </w:r>
    </w:p>
    <w:p w14:paraId="12963AAD" w14:textId="77777777">
      <w:pPr>
        <w:pStyle w:val="ListBullet"/>
        <w:keepLines/>
      </w:pPr>
      <w:r>
        <w:t>Submission: enter quote fields in the DIBBS web quote form and upload the document package as one combined PDF using the DIBBS offer-upload link attached to this solicitation</w:t>
      </w:r>
    </w:p>
    <w:p w14:paraId="2855C3DC" w14:textId="77777777">
      <w:pPr>
        <w:pStyle w:val="ListBullet"/>
        <w:keepLines/>
      </w:pPr>
      <w:r>
        <w:t>Evaluation: manual review of price, delivery, responsibility, exact-product compliance, and the required document package</w:t>
      </w:r>
    </w:p>
    <w:p w14:paraId="7D478D8F" w14:textId="77777777">
      <w:pPr>
        <w:pStyle w:val="ListBullet"/>
        <w:keepLines/>
      </w:pPr>
      <w:r>
        <w:t>Master terms: DLA Master Solicitation for Automated Simplified Acquisitions, Revision 104, incorporated by reference for this fictional sample</w:t>
      </w:r>
    </w:p>
    <w:p w14:paraId="3D0EA175" w14:textId="77777777">
      <w:pPr>
        <w:keepLines/>
      </w:pPr>
      <w:r>
        <w:t>The document-upload requirement comes from these solicitation instructions. The letter in the ninth position of the sample solicitation number does not create the requirement.</w:t>
      </w:r>
    </w:p>
    <w:p w14:paraId="7554DEBE" w14:textId="77777777">
      <w:pPr>
        <w:pStyle w:val="Heading1"/>
      </w:pPr>
      <w:r>
        <w:t>Line item 0001</w:t>
      </w:r>
    </w:p>
    <w:p w14:paraId="53F205AD" w14:textId="77777777">
      <w:pPr>
        <w:pStyle w:val="ListBullet"/>
        <w:keepLines/>
      </w:pPr>
      <w:r>
        <w:t>NSN: 4820-01-DEM-0755</w:t>
      </w:r>
    </w:p>
    <w:p w14:paraId="06D091FF" w14:textId="77777777">
      <w:pPr>
        <w:pStyle w:val="ListBullet"/>
        <w:keepLines/>
      </w:pPr>
      <w:r>
        <w:t>Item: check valve, hydraulic, poppet type, 3/4 inch, 3000 psi</w:t>
      </w:r>
    </w:p>
    <w:p w14:paraId="0A7D9671" w14:textId="77777777">
      <w:pPr>
        <w:pStyle w:val="ListBullet"/>
        <w:keepLines/>
      </w:pPr>
      <w:r>
        <w:t>Approved product: Calder Fluid Systems Corp, CAGE 0DEM7, part number CFS-2205-7, drawing CFS-2205 revision C</w:t>
      </w:r>
    </w:p>
    <w:p w14:paraId="0F012660" w14:textId="77777777">
      <w:pPr>
        <w:pStyle w:val="ListBullet"/>
        <w:keepLines/>
      </w:pPr>
      <w:r>
        <w:t>AMC/AMSC: 1D</w:t>
      </w:r>
    </w:p>
    <w:p w14:paraId="3A29E2A1" w14:textId="77777777">
      <w:pPr>
        <w:pStyle w:val="ListBullet"/>
        <w:keepLines/>
      </w:pPr>
      <w:r>
        <w:t>Quantity and unit: 150 EA</w:t>
      </w:r>
    </w:p>
    <w:p w14:paraId="73E80557" w14:textId="77777777">
      <w:pPr>
        <w:pStyle w:val="ListBullet"/>
        <w:keepLines/>
      </w:pPr>
      <w:r>
        <w:t>Quantity variance: none</w:t>
      </w:r>
    </w:p>
    <w:p w14:paraId="2721C60E" w14:textId="77777777">
      <w:pPr>
        <w:pStyle w:val="ListBullet"/>
        <w:keepLines/>
      </w:pPr>
      <w:r>
        <w:t>Requested delivery: 45 days after receipt of order</w:t>
      </w:r>
    </w:p>
    <w:p w14:paraId="55B7CCD8" w14:textId="77777777">
      <w:pPr>
        <w:pStyle w:val="ListBullet"/>
        <w:keepLines/>
      </w:pPr>
      <w:r>
        <w:t>FOB: destination</w:t>
      </w:r>
    </w:p>
    <w:p w14:paraId="073A586F" w14:textId="77777777">
      <w:pPr>
        <w:pStyle w:val="ListBullet"/>
        <w:keepLines/>
      </w:pPr>
      <w:r>
        <w:t>Inspection and acceptance: origin unless the cognizant Contract Administration Office authorizes use of a Certificate of Conformance in writing after award; otherwise inspection and acceptance occur as directed by the award</w:t>
      </w:r>
    </w:p>
    <w:p w14:paraId="645F4542" w14:textId="77777777">
      <w:pPr>
        <w:pStyle w:val="ListBullet"/>
        <w:keepLines/>
      </w:pPr>
      <w:r>
        <w:t>Higher-level quality: ISO 9001:2015</w:t>
      </w:r>
    </w:p>
    <w:p w14:paraId="35F0D1E3" w14:textId="77777777">
      <w:pPr>
        <w:pStyle w:val="ListBullet"/>
        <w:keepLines/>
      </w:pPr>
      <w:r>
        <w:t>Traceability: procurement note C03 and STO RQ018 apply</w:t>
      </w:r>
    </w:p>
    <w:p w14:paraId="72B0D44B" w14:textId="77777777">
      <w:pPr>
        <w:pStyle w:val="ListBullet"/>
        <w:keepLines/>
      </w:pPr>
      <w:r>
        <w:t>Export control: RQ032 not cited</w:t>
      </w:r>
    </w:p>
    <w:p w14:paraId="04CD317E" w14:textId="77777777">
      <w:pPr>
        <w:pStyle w:val="ListBullet"/>
        <w:keepLines/>
      </w:pPr>
      <w:r>
        <w:t>Surplus: not solicited</w:t>
      </w:r>
    </w:p>
    <w:p w14:paraId="4EF06625" w14:textId="77777777">
      <w:pPr>
        <w:pStyle w:val="ListBullet"/>
        <w:keepLines/>
      </w:pPr>
      <w:r>
        <w:lastRenderedPageBreak/>
        <w:t>Hazardous material: none</w:t>
      </w:r>
    </w:p>
    <w:p w14:paraId="778B7C32" w14:textId="77777777">
      <w:pPr>
        <w:pStyle w:val="ListBullet"/>
        <w:keepLines/>
      </w:pPr>
      <w:r>
        <w:t>NAICS: 332912; size standard 1,000 employees</w:t>
      </w:r>
    </w:p>
    <w:p w14:paraId="3D287370" w14:textId="77777777">
      <w:pPr>
        <w:pStyle w:val="Heading1"/>
      </w:pPr>
      <w:r>
        <w:t>Exact packaging and marking data</w:t>
      </w:r>
    </w:p>
    <w:p w14:paraId="53E17178" w14:textId="77777777">
      <w:pPr>
        <w:keepLines/>
      </w:pPr>
      <w:r>
        <w:t>The offeror shall include the full cost of the following packaging in its unit price and answer "Yes" to Meets Packaging Requirement only if it can comply:</w:t>
      </w:r>
    </w:p>
    <w:p w14:paraId="0ACAE403" w14:textId="77777777">
      <w:pPr>
        <w:pStyle w:val="ListBullet"/>
        <w:keepLines/>
      </w:pPr>
      <w:r>
        <w:t>Preservation method: MIL-STD-2073-1E Method 50</w:t>
      </w:r>
    </w:p>
    <w:p w14:paraId="2499EB48" w14:textId="77777777">
      <w:pPr>
        <w:pStyle w:val="ListBullet"/>
        <w:keepLines/>
      </w:pPr>
      <w:r>
        <w:t>Unit pack quantity: 1 EA</w:t>
      </w:r>
    </w:p>
    <w:p w14:paraId="3FE3F8BB" w14:textId="77777777">
      <w:pPr>
        <w:pStyle w:val="ListBullet"/>
        <w:keepLines/>
      </w:pPr>
      <w:r>
        <w:t>Ports: keep the manufacturer's protective caps installed</w:t>
      </w:r>
    </w:p>
    <w:p w14:paraId="27C9F407" w14:textId="77777777">
      <w:pPr>
        <w:pStyle w:val="ListBullet"/>
        <w:keepLines/>
      </w:pPr>
      <w:r>
        <w:t>Barrier: greaseproof and waterproof barrier around each capped valve</w:t>
      </w:r>
    </w:p>
    <w:p w14:paraId="09A37F12" w14:textId="77777777">
      <w:pPr>
        <w:pStyle w:val="ListBullet"/>
        <w:keepLines/>
      </w:pPr>
      <w:r>
        <w:t>Cushioning: closed-cell cushioning fitted to prevent movement inside the unit container</w:t>
      </w:r>
    </w:p>
    <w:p w14:paraId="604E96CD" w14:textId="77777777">
      <w:pPr>
        <w:pStyle w:val="ListBullet"/>
        <w:keepLines/>
      </w:pPr>
      <w:r>
        <w:t>Unit container: fiberboard box meeting ASTM D5118</w:t>
      </w:r>
    </w:p>
    <w:p w14:paraId="41FC1854" w14:textId="77777777">
      <w:pPr>
        <w:pStyle w:val="ListBullet"/>
        <w:keepLines/>
      </w:pPr>
      <w:r>
        <w:t>Intermediate quantity: 10 unit packs per intermediate container</w:t>
      </w:r>
    </w:p>
    <w:p w14:paraId="7F3E30E5" w14:textId="77777777">
      <w:pPr>
        <w:pStyle w:val="ListBullet"/>
        <w:keepLines/>
      </w:pPr>
      <w:r>
        <w:t>Exterior container: fiberboard shipping container meeting ASTM D5118, palletized when the shipment quantity requires it</w:t>
      </w:r>
    </w:p>
    <w:p w14:paraId="0FE6ADFE" w14:textId="77777777">
      <w:pPr>
        <w:pStyle w:val="ListBullet"/>
        <w:keepLines/>
      </w:pPr>
      <w:r>
        <w:t>Marking: MIL-STD-129R, including solicitation or award number, NSN, part number, approved-manufacturer CAGE, quantity and unit, and lot CFS-L2606-118</w:t>
      </w:r>
    </w:p>
    <w:p w14:paraId="1FAD92DC" w14:textId="77777777">
      <w:pPr>
        <w:pStyle w:val="Heading1"/>
      </w:pPr>
      <w:r>
        <w:t>Web quote-form fields</w:t>
      </w:r>
    </w:p>
    <w:p w14:paraId="60E7D47E" w14:textId="77777777">
      <w:pPr>
        <w:keepLines/>
      </w:pPr>
      <w:r>
        <w:t>Enter Bid Without Exception (BI) only if the offered product and every term above can be met without qualification. Enter the unit price, delivery days, quote-valid period, FOB, inspection point, Meets Packaging Requirement, ISO 9001:2015 quality answer, dealer status, actual manufacturing source, country of origin, and the applicable representations. Identify Calder Fluid Systems Corp, CAGE 0DEM7, as the actual manufacturing source. Do not describe Ardent Flow Distribution LLC as the manufacturer.</w:t>
      </w:r>
    </w:p>
    <w:p w14:paraId="38CFC60F" w14:textId="77777777">
      <w:pPr>
        <w:pStyle w:val="Heading1"/>
      </w:pPr>
      <w:r>
        <w:t>Required combined PDF, in this exact order</w:t>
      </w:r>
    </w:p>
    <w:p w14:paraId="15EDF096" w14:textId="77777777">
      <w:pPr>
        <w:keepLines/>
      </w:pPr>
      <w:r>
        <w:t>The combined PDF shall contain six tabs. Each tab shall state the solicitation number, NSN, approved-manufacturer CAGE, part number, offered lot, and quantity where applicable.</w:t>
      </w:r>
    </w:p>
    <w:p w14:paraId="64337ABD" w14:textId="77777777">
      <w:pPr>
        <w:pStyle w:val="ListNumber"/>
        <w:keepLines/>
        <w:numPr>
          <w:ilvl w:val="0"/>
          <w:numId w:val="10"/>
        </w:numPr>
      </w:pPr>
      <w:r>
        <w:t>Cover and index with the offeror's UEI and CAGE.</w:t>
      </w:r>
    </w:p>
    <w:p w14:paraId="25F8931B" w14:textId="77777777">
      <w:pPr>
        <w:pStyle w:val="ListNumber"/>
        <w:keepLines/>
        <w:numPr>
          <w:ilvl w:val="0"/>
          <w:numId w:val="10"/>
        </w:numPr>
      </w:pPr>
      <w:r>
        <w:t>Unsigned post-award Certificate of Conformance specimen. The specimen shall reproduce the certificate language in FAR 52.246-15(d). The offeror shall not date or sign it before award. Shipment under a Certificate of Conformance may occur only after written authorization from the cognizant Contract Administration Office.</w:t>
      </w:r>
    </w:p>
    <w:p w14:paraId="4C30429B" w14:textId="77777777">
      <w:pPr>
        <w:pStyle w:val="ListNumber"/>
        <w:keepLines/>
        <w:numPr>
          <w:ilvl w:val="0"/>
          <w:numId w:val="10"/>
        </w:numPr>
      </w:pPr>
      <w:r>
        <w:t>Supply-chain traceability statement identifying every intermediary by name, location, and CAGE, with the documents that connect each link to the approved manufacturer.</w:t>
      </w:r>
    </w:p>
    <w:p w14:paraId="72781F4E" w14:textId="77777777">
      <w:pPr>
        <w:pStyle w:val="ListNumber"/>
        <w:keepLines/>
        <w:numPr>
          <w:ilvl w:val="0"/>
          <w:numId w:val="10"/>
        </w:numPr>
      </w:pPr>
      <w:r>
        <w:t>Manufacturer and quality records for lot CFS-L2606-118: Calder Certificate of Conformance, certified material test report, proof-pressure report, seat-leakage report, incoming inspection record, and current ISO 9001:2015 evidence.</w:t>
      </w:r>
    </w:p>
    <w:p w14:paraId="0555DBDD" w14:textId="77777777">
      <w:pPr>
        <w:pStyle w:val="ListNumber"/>
        <w:keepLines/>
        <w:numPr>
          <w:ilvl w:val="0"/>
          <w:numId w:val="10"/>
        </w:numPr>
      </w:pPr>
      <w:r>
        <w:t>Packaging and marking compliance statement that repeats the exact packaging data above and identifies the packaging evidence used to support the price.</w:t>
      </w:r>
    </w:p>
    <w:p w14:paraId="49E06FBF" w14:textId="77777777">
      <w:pPr>
        <w:pStyle w:val="ListNumber"/>
        <w:keepLines/>
        <w:numPr>
          <w:ilvl w:val="0"/>
          <w:numId w:val="10"/>
        </w:numPr>
      </w:pPr>
      <w:r>
        <w:lastRenderedPageBreak/>
        <w:t>Technical-data and drawing-status statement confirming Calder part number CFS-2205-7 at drawing CFS-2205 revision C.</w:t>
      </w:r>
    </w:p>
    <w:p w14:paraId="422BD0A6" w14:textId="77777777">
      <w:pPr>
        <w:keepLines/>
      </w:pPr>
      <w:r>
        <w:t>The six tabs shall be searchable, portrait-oriented, and combined into one PDF. File name: 8DEM2_SPE7L026RDEM4_DOCUMENT_PACKAGE.pdf. Do not password-protect the file.</w:t>
      </w:r>
    </w:p>
    <w:p w14:paraId="25F0371D" w14:textId="77777777">
      <w:pPr>
        <w:pStyle w:val="Heading1"/>
      </w:pPr>
      <w:r>
        <w:t>Certificate text required in tab 2</w:t>
      </w:r>
    </w:p>
    <w:p w14:paraId="0B7F1FF7" w14:textId="77777777">
      <w:pPr>
        <w:keepLines/>
      </w:pPr>
      <w:r>
        <w:t>The specimen shall reproduce this FAR 52.246-15(d) certificate text:</w:t>
      </w:r>
    </w:p>
    <w:p w14:paraId="26FA04B3" w14:textId="77777777">
      <w:pPr>
        <w:keepLines/>
      </w:pPr>
      <w:r>
        <w:t>"I certify that on ______ [insert date], the ____ [insert Contractor's name] furnished the supplies or services called for by Contract No._____ via ____ [Carrier] on ________ [identify the bill of lading or shipping document] in accordance with all applicable requirements. I further certify that the supplies or services are of the quality specified and conform in all respects with the contract requirements, including specifications, drawings, preservation, packaging, packing, marking requirements, and physi</w:t>
      </w:r>
      <w:r>
        <w:t>cal item identification (part number), and are in the quantity shown on this or on the attached acceptance document."</w:t>
      </w:r>
    </w:p>
    <w:p w14:paraId="609302D2" w14:textId="77777777">
      <w:pPr>
        <w:keepLines/>
      </w:pPr>
      <w:r>
        <w:t>The executed certificate shall include Date of Execution, Signature, and Title. The quotation package contains an unsigned specimen only.</w:t>
      </w:r>
    </w:p>
    <w:sectPr>
      <w:headerReference w:type="default" r:id="rId8"/>
      <w:footerReference w:type="default" r:id="rId9"/>
      <w:pgSz w:w="12240" w:h="15840"/>
      <w:pgMar w:top="1440" w:right="1440" w:bottom="1440" w:left="1440" w:header="504"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43B12" w14:textId="77777777">
      <w:pPr>
        <w:spacing w:after="0" w:line="240" w:lineRule="auto"/>
      </w:pPr>
      <w:r>
        <w:separator/>
      </w:r>
    </w:p>
  </w:endnote>
  <w:endnote w:type="continuationSeparator" w:id="0">
    <w:p w14:paraId="33CC099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21622" w14:textId="77777777">
    <w:pPr>
      <w:pStyle w:val="Footer"/>
    </w:pPr>
    <w:r>
      <w:rPr>
        <w:color w:val="666666"/>
        <w:sz w:val="21"/>
      </w:rPr>
      <w:t xml:space="preserve">FICTIONAL DEMONSTRATION SAMPLE    |    Page </w:t>
    </w:r>
    <w:r>
      <w:rPr>
        <w:color w:val="666666"/>
        <w:sz w:val="21"/>
      </w:rPr>
      <w:fldChar w:fldCharType="begin"/>
    </w:r>
    <w:r>
      <w:rPr>
        <w:color w:val="666666"/>
        <w:sz w:val="21"/>
      </w:rPr>
      <w:instrText xml:space="preserve"> PAGE </w:instrText>
    </w:r>
    <w:r>
      <w:rPr>
        <w:color w:val="666666"/>
        <w:sz w:val="21"/>
      </w:rPr>
      <w:fldChar w:fldCharType="separate"/>
    </w:r>
    <w:r>
      <w:rPr>
        <w:noProof/>
        <w:color w:val="666666"/>
        <w:sz w:val="21"/>
      </w:rPr>
      <w:t>1</w:t>
    </w:r>
    <w:r>
      <w:rPr>
        <w:color w:val="666666"/>
        <w:sz w:val="21"/>
      </w:rPr>
      <w:fldChar w:fldCharType="end"/>
    </w:r>
    <w:r>
      <w:rPr>
        <w:color w:val="666666"/>
        <w:sz w:val="21"/>
      </w:rPr>
      <w:t xml:space="preserve"> of </w:t>
    </w:r>
    <w:r>
      <w:rPr>
        <w:color w:val="666666"/>
        <w:sz w:val="21"/>
      </w:rPr>
      <w:fldChar w:fldCharType="begin"/>
    </w:r>
    <w:r>
      <w:rPr>
        <w:color w:val="666666"/>
        <w:sz w:val="21"/>
      </w:rPr>
      <w:instrText xml:space="preserve"> NUMPAGES </w:instrText>
    </w:r>
    <w:r>
      <w:rPr>
        <w:color w:val="666666"/>
        <w:sz w:val="21"/>
      </w:rPr>
      <w:fldChar w:fldCharType="separate"/>
    </w:r>
    <w:r>
      <w:rPr>
        <w:noProof/>
        <w:color w:val="666666"/>
        <w:sz w:val="21"/>
      </w:rPr>
      <w:t>2</w:t>
    </w:r>
    <w:r>
      <w:rPr>
        <w:color w:val="666666"/>
        <w:sz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62F63" w14:textId="77777777">
      <w:pPr>
        <w:spacing w:after="0" w:line="240" w:lineRule="auto"/>
      </w:pPr>
      <w:r>
        <w:separator/>
      </w:r>
    </w:p>
  </w:footnote>
  <w:footnote w:type="continuationSeparator" w:id="0">
    <w:p w14:paraId="77A5C72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867E" w14:textId="77777777">
    <w:pPr>
      <w:pStyle w:val="Header"/>
    </w:pPr>
    <w:r>
      <w:rPr>
        <w:b/>
        <w:color w:val="1F2937"/>
        <w:sz w:val="21"/>
      </w:rPr>
      <w:t>FICTITIOUS DIBBS PROCUREMENT SAMPLE</w:t>
    </w:r>
    <w:r>
      <w:rPr>
        <w:b/>
        <w:color w:val="9B1C1C"/>
        <w:sz w:val="21"/>
      </w:rPr>
      <w:t xml:space="preserve">    |    FICTIONAL DEMONSTRATION SAMPLE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29524015">
    <w:abstractNumId w:val="8"/>
  </w:num>
  <w:num w:numId="2" w16cid:durableId="766779691">
    <w:abstractNumId w:val="6"/>
  </w:num>
  <w:num w:numId="3" w16cid:durableId="952133423">
    <w:abstractNumId w:val="5"/>
  </w:num>
  <w:num w:numId="4" w16cid:durableId="1552304973">
    <w:abstractNumId w:val="4"/>
  </w:num>
  <w:num w:numId="5" w16cid:durableId="83380937">
    <w:abstractNumId w:val="7"/>
  </w:num>
  <w:num w:numId="6" w16cid:durableId="1946308895">
    <w:abstractNumId w:val="3"/>
  </w:num>
  <w:num w:numId="7" w16cid:durableId="2079860980">
    <w:abstractNumId w:val="2"/>
  </w:num>
  <w:num w:numId="8" w16cid:durableId="735124005">
    <w:abstractNumId w:val="1"/>
  </w:num>
  <w:num w:numId="9" w16cid:durableId="913322558">
    <w:abstractNumId w:val="0"/>
  </w:num>
  <w:num w:numId="10" w16cid:durableId="77393634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100BA"/>
  <w14:defaultImageDpi w14:val="300"/>
  <w15:docId w15:val="{BA89A411-A4F7-4D54-83AB-48A9E88F1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64" w:lineRule="auto"/>
    </w:pPr>
    <w:rPr>
      <w:rFonts w:ascii="Arial" w:hAnsi="Arial"/>
      <w:color w:val="222222"/>
    </w:rPr>
  </w:style>
  <w:style w:type="paragraph" w:styleId="Heading1">
    <w:name w:val="heading 1"/>
    <w:basedOn w:val="Normal"/>
    <w:next w:val="Normal"/>
    <w:link w:val="Heading1Char"/>
    <w:uiPriority w:val="9"/>
    <w:qFormat/>
    <w:pPr>
      <w:keepNext/>
      <w:keepLines/>
      <w:spacing w:before="320" w:after="160"/>
      <w:outlineLvl w:val="0"/>
    </w:pPr>
    <w:rPr>
      <w:rFonts w:asciiTheme="majorHAnsi" w:eastAsiaTheme="majorEastAsia" w:hAnsiTheme="majorHAnsi" w:cstheme="majorBidi"/>
      <w:b/>
      <w:bCs/>
      <w:color w:val="4B5563"/>
      <w:sz w:val="32"/>
      <w:szCs w:val="28"/>
    </w:rPr>
  </w:style>
  <w:style w:type="paragraph" w:styleId="Heading2">
    <w:name w:val="heading 2"/>
    <w:basedOn w:val="Normal"/>
    <w:next w:val="Normal"/>
    <w:link w:val="Heading2Char"/>
    <w:uiPriority w:val="9"/>
    <w:unhideWhenUsed/>
    <w:qFormat/>
    <w:pPr>
      <w:keepNext/>
      <w:keepLines/>
      <w:spacing w:before="240"/>
      <w:outlineLvl w:val="1"/>
    </w:pPr>
    <w:rPr>
      <w:rFonts w:asciiTheme="majorHAnsi" w:eastAsiaTheme="majorEastAsia" w:hAnsiTheme="majorHAnsi" w:cstheme="majorBidi"/>
      <w:b/>
      <w:bCs/>
      <w:color w:val="1F2937"/>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paragraph" w:styleId="BodyText">
    <w:name w:val="Body Text"/>
    <w:basedOn w:val="Normal"/>
    <w:link w:val="BodyTextChar"/>
    <w:uiPriority w:val="99"/>
    <w:unhideWhenUsed/>
  </w:style>
  <w:style w:type="character" w:customStyle="1" w:styleId="BodyTextChar">
    <w:name w:val="Body Text Char"/>
    <w:basedOn w:val="DefaultParagraphFont"/>
    <w:link w:val="BodyText"/>
    <w:uiPriority w:val="99"/>
  </w:style>
  <w:style w:type="paragraph" w:styleId="BodyText2">
    <w:name w:val="Body Text 2"/>
    <w:basedOn w:val="Normal"/>
    <w:link w:val="BodyText2Char"/>
    <w:uiPriority w:val="99"/>
    <w:unhideWhenUsed/>
    <w:pPr>
      <w:spacing w:line="480" w:lineRule="auto"/>
    </w:pPr>
  </w:style>
  <w:style w:type="character" w:customStyle="1" w:styleId="BodyText2Char">
    <w:name w:val="Body Text 2 Char"/>
    <w:basedOn w:val="DefaultParagraphFont"/>
    <w:link w:val="BodyText2"/>
    <w:uiPriority w:val="99"/>
  </w:style>
  <w:style w:type="paragraph" w:styleId="BodyText3">
    <w:name w:val="Body Text 3"/>
    <w:basedOn w:val="Normal"/>
    <w:link w:val="BodyText3Char"/>
    <w:uiPriority w:val="99"/>
    <w:unhideWhenUsed/>
    <w:rPr>
      <w:sz w:val="16"/>
      <w:szCs w:val="16"/>
    </w:rPr>
  </w:style>
  <w:style w:type="character" w:customStyle="1" w:styleId="BodyText3Char">
    <w:name w:val="Body Text 3 Char"/>
    <w:basedOn w:val="DefaultParagraphFont"/>
    <w:link w:val="BodyText3"/>
    <w:uiPriority w:val="99"/>
    <w:rPr>
      <w:sz w:val="16"/>
      <w:szCs w:val="16"/>
    </w:rPr>
  </w:style>
  <w:style w:type="paragraph" w:styleId="List">
    <w:name w:val="List"/>
    <w:basedOn w:val="Normal"/>
    <w:uiPriority w:val="99"/>
    <w:unhideWhenUsed/>
    <w:pPr>
      <w:ind w:left="360" w:hanging="360"/>
      <w:contextualSpacing/>
    </w:pPr>
  </w:style>
  <w:style w:type="paragraph" w:styleId="List2">
    <w:name w:val="List 2"/>
    <w:basedOn w:val="Normal"/>
    <w:uiPriority w:val="99"/>
    <w:unhideWhenUsed/>
    <w:pPr>
      <w:ind w:left="720" w:hanging="360"/>
      <w:contextualSpacing/>
    </w:pPr>
  </w:style>
  <w:style w:type="paragraph" w:styleId="List3">
    <w:name w:val="List 3"/>
    <w:basedOn w:val="Normal"/>
    <w:uiPriority w:val="99"/>
    <w:unhideWhenUsed/>
    <w:pPr>
      <w:ind w:left="1080" w:hanging="360"/>
      <w:contextualSpacing/>
    </w:pPr>
  </w:style>
  <w:style w:type="paragraph" w:styleId="ListBullet">
    <w:name w:val="List Bullet"/>
    <w:basedOn w:val="Normal"/>
    <w:uiPriority w:val="99"/>
    <w:unhideWhenUsed/>
    <w:pPr>
      <w:numPr>
        <w:numId w:val="1"/>
      </w:numPr>
      <w:spacing w:after="80"/>
      <w:ind w:left="720"/>
      <w:contextualSpacing/>
    </w:pPr>
  </w:style>
  <w:style w:type="paragraph" w:styleId="ListBullet2">
    <w:name w:val="List Bullet 2"/>
    <w:basedOn w:val="Normal"/>
    <w:uiPriority w:val="99"/>
    <w:unhideWhenUsed/>
    <w:pPr>
      <w:numPr>
        <w:numId w:val="2"/>
      </w:numPr>
      <w:contextualSpacing/>
    </w:pPr>
  </w:style>
  <w:style w:type="paragraph" w:styleId="ListBullet3">
    <w:name w:val="List Bullet 3"/>
    <w:basedOn w:val="Normal"/>
    <w:uiPriority w:val="99"/>
    <w:unhideWhenUsed/>
    <w:pPr>
      <w:numPr>
        <w:numId w:val="3"/>
      </w:numPr>
      <w:contextualSpacing/>
    </w:pPr>
  </w:style>
  <w:style w:type="paragraph" w:styleId="ListNumber">
    <w:name w:val="List Number"/>
    <w:basedOn w:val="Normal"/>
    <w:uiPriority w:val="99"/>
    <w:unhideWhenUsed/>
    <w:pPr>
      <w:numPr>
        <w:numId w:val="5"/>
      </w:numPr>
      <w:spacing w:after="80"/>
      <w:ind w:left="720"/>
      <w:contextualSpacing/>
    </w:pPr>
  </w:style>
  <w:style w:type="paragraph" w:styleId="ListNumber2">
    <w:name w:val="List Number 2"/>
    <w:basedOn w:val="Normal"/>
    <w:uiPriority w:val="99"/>
    <w:unhideWhenUsed/>
    <w:pPr>
      <w:numPr>
        <w:numId w:val="6"/>
      </w:numPr>
      <w:contextualSpacing/>
    </w:pPr>
  </w:style>
  <w:style w:type="paragraph" w:styleId="ListNumber3">
    <w:name w:val="List Number 3"/>
    <w:basedOn w:val="Normal"/>
    <w:uiPriority w:val="99"/>
    <w:unhideWhenUsed/>
    <w:pPr>
      <w:numPr>
        <w:numId w:val="7"/>
      </w:numPr>
      <w:contextualSpacing/>
    </w:pPr>
  </w:style>
  <w:style w:type="paragraph" w:styleId="ListContinue">
    <w:name w:val="List Continue"/>
    <w:basedOn w:val="Normal"/>
    <w:uiPriority w:val="99"/>
    <w:unhideWhenUsed/>
    <w:pPr>
      <w:ind w:left="360"/>
      <w:contextualSpacing/>
    </w:pPr>
  </w:style>
  <w:style w:type="paragraph" w:styleId="ListContinue2">
    <w:name w:val="List Continue 2"/>
    <w:basedOn w:val="Normal"/>
    <w:uiPriority w:val="99"/>
    <w:unhideWhenUsed/>
    <w:pPr>
      <w:ind w:left="720"/>
      <w:contextualSpacing/>
    </w:pPr>
  </w:style>
  <w:style w:type="paragraph" w:styleId="ListContinue3">
    <w:name w:val="List Continue 3"/>
    <w:basedOn w:val="Normal"/>
    <w:uiPriority w:val="99"/>
    <w:unhideWhenUsed/>
    <w:pPr>
      <w:ind w:left="1080"/>
      <w:contextualSpacing/>
    </w:p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Emphasis">
    <w:name w:val="Subtle Emphasis"/>
    <w:basedOn w:val="DefaultParagraphFont"/>
    <w:uiPriority w:val="19"/>
    <w:qFormat/>
    <w:rPr>
      <w:i/>
      <w:iCs/>
      <w:color w:val="808080" w:themeColor="text1" w:themeTint="7F"/>
    </w:rPr>
  </w:style>
  <w:style w:type="character" w:styleId="IntenseEmphasis">
    <w:name w:val="Intense Emphasis"/>
    <w:basedOn w:val="DefaultParagraphFont"/>
    <w:uiPriority w:val="21"/>
    <w:qFormat/>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TOCHeading">
    <w:name w:val="TOC Heading"/>
    <w:basedOn w:val="Heading1"/>
    <w:next w:val="Normal"/>
    <w:uiPriority w:val="39"/>
    <w:semiHidden/>
    <w:unhideWhenUsed/>
    <w:qFormat/>
    <w:pPr>
      <w:outlineLvl w:val="9"/>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4782</Characters>
  <Application>Microsoft Office Word</Application>
  <DocSecurity>0</DocSecurity>
  <Lines>89</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SPE7L0-26-R-DEM4 (FICTITIOUS SOLICITATION)</dc:title>
  <dc:subject>Fictitious public demonstration sample</dc:subject>
  <dc:creator/>
  <cp:keywords/>
  <dc:description>Synthetic demonstration file. No real client information.</dc:description>
  <cp:lastModifiedBy/>
  <cp:revision>2</cp:revision>
  <dcterms:created xsi:type="dcterms:W3CDTF">2013-12-23T23:15:00Z</dcterms:created>
  <dcterms:modified xsi:type="dcterms:W3CDTF">2026-08-19T12:36:00Z</dcterms:modified>
  <cp:category/>
</cp:coreProperties>
</file>