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response requirements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Attachment A</w:t>
      </w:r>
    </w:p>
    <w:p>
      <w:r>
        <w:t xml:space="preserve">R1: Quality plan attachment (S1, Attachment 3, paragraph 2)</w:t>
      </w:r>
    </w:p>
    <w:p>
      <w:pPr>
        <w:pStyle w:val="Heading1"/>
      </w:pPr>
      <w:r>
        <w:t xml:space="preserve">Price</w:t>
      </w:r>
    </w:p>
    <w:p>
      <w:r>
        <w:t xml:space="preserve">R2: Completed price schedule (S1, Section L.2)</w:t>
      </w:r>
    </w:p>
    <w:p>
      <w:pPr>
        <w:pStyle w:val="Heading1"/>
      </w:pPr>
      <w:r>
        <w:t xml:space="preserve">Sources</w:t>
      </w:r>
    </w:p>
    <w:p>
      <w:r>
        <w:t xml:space="preserve">S1: Fictional synthetic source, Attachment 3, paragraph 2. Passage: The offer shall include a quality plan.</w:t>
      </w:r>
    </w:p>
    <w:p>
      <w:r>
        <w:t xml:space="preserve">S1: Fictional synthetic source, Section L.2. Passage: Price schedules are due February 11 at 5 PM Eastern.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